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BB2174" w:rsidRPr="00F632F6" w14:paraId="53A2C5EC" w14:textId="77777777">
        <w:trPr>
          <w:trHeight w:val="1140"/>
        </w:trPr>
        <w:tc>
          <w:tcPr>
            <w:tcW w:w="4145" w:type="dxa"/>
          </w:tcPr>
          <w:p w14:paraId="63F5D3C9" w14:textId="77777777" w:rsidR="00BB2174" w:rsidRDefault="00BB2174" w:rsidP="00351663">
            <w:pPr>
              <w:rPr>
                <w:sz w:val="20"/>
              </w:rPr>
            </w:pPr>
          </w:p>
          <w:p w14:paraId="567FD504" w14:textId="77777777" w:rsidR="00800C7D" w:rsidRDefault="00BB2174" w:rsidP="00351663">
            <w:pPr>
              <w:rPr>
                <w:sz w:val="20"/>
              </w:rPr>
            </w:pPr>
            <w:r w:rsidRPr="00E06F48">
              <w:rPr>
                <w:b/>
                <w:sz w:val="20"/>
                <w:u w:val="single"/>
              </w:rPr>
              <w:t>Global Awareness:</w:t>
            </w:r>
            <w:r w:rsidRPr="00E06F48">
              <w:rPr>
                <w:sz w:val="20"/>
              </w:rPr>
              <w:t xml:space="preserve"> </w:t>
            </w:r>
          </w:p>
          <w:p w14:paraId="68CABB6E" w14:textId="011BE3A8" w:rsidR="00BB2174" w:rsidRPr="00E06F48" w:rsidRDefault="00BB2174" w:rsidP="00351663">
            <w:pPr>
              <w:rPr>
                <w:sz w:val="20"/>
              </w:rPr>
            </w:pPr>
            <w:r>
              <w:rPr>
                <w:sz w:val="20"/>
              </w:rPr>
              <w:t>Students will be able to demonstrate k</w:t>
            </w:r>
            <w:r w:rsidRPr="00E06F48">
              <w:rPr>
                <w:sz w:val="20"/>
              </w:rPr>
              <w:t>nowledge of the interrelatedness of local, global, international, and intercultural issues, trends, and systems</w:t>
            </w:r>
            <w:r>
              <w:rPr>
                <w:sz w:val="20"/>
              </w:rPr>
              <w:t>.</w:t>
            </w:r>
          </w:p>
          <w:p w14:paraId="44855D00" w14:textId="77777777" w:rsidR="00BB2174" w:rsidRPr="003D281E" w:rsidRDefault="00BB2174" w:rsidP="00351663">
            <w:pPr>
              <w:rPr>
                <w:b/>
                <w:color w:val="0070C0"/>
                <w:sz w:val="22"/>
                <w:u w:val="single"/>
              </w:rPr>
            </w:pPr>
          </w:p>
        </w:tc>
        <w:tc>
          <w:tcPr>
            <w:tcW w:w="4343" w:type="dxa"/>
            <w:vMerge w:val="restart"/>
          </w:tcPr>
          <w:p w14:paraId="69087799" w14:textId="77777777" w:rsidR="00BB2174" w:rsidRPr="00BB2174" w:rsidRDefault="00BB2174" w:rsidP="00DF7E0D">
            <w:pPr>
              <w:spacing w:before="120" w:after="120"/>
              <w:rPr>
                <w:rFonts w:cstheme="minorHAnsi"/>
                <w:sz w:val="20"/>
              </w:rPr>
            </w:pPr>
            <w:r w:rsidRPr="00BB2174">
              <w:rPr>
                <w:rFonts w:cstheme="minorHAnsi"/>
                <w:b/>
                <w:sz w:val="20"/>
              </w:rPr>
              <w:t>Assessment Activity/Artifact:</w:t>
            </w:r>
          </w:p>
          <w:p w14:paraId="04E120EC" w14:textId="77777777" w:rsidR="00BB2174" w:rsidRPr="00BB2174" w:rsidRDefault="00BB2174" w:rsidP="00DF7E0D">
            <w:pPr>
              <w:spacing w:before="120" w:after="120"/>
              <w:contextualSpacing/>
              <w:rPr>
                <w:rFonts w:cstheme="minorHAnsi"/>
                <w:i/>
                <w:sz w:val="20"/>
              </w:rPr>
            </w:pPr>
            <w:r w:rsidRPr="00BB2174">
              <w:rPr>
                <w:rFonts w:cstheme="minorHAnsi"/>
                <w:i/>
                <w:sz w:val="20"/>
              </w:rPr>
              <w:t>Four Critical Response Papers:</w:t>
            </w:r>
          </w:p>
          <w:p w14:paraId="4BB8A645" w14:textId="77777777" w:rsidR="00BB2174" w:rsidRDefault="00BB2174" w:rsidP="00DF7E0D">
            <w:pPr>
              <w:rPr>
                <w:rFonts w:cstheme="minorHAnsi"/>
                <w:sz w:val="20"/>
              </w:rPr>
            </w:pPr>
            <w:r w:rsidRPr="00BB2174">
              <w:rPr>
                <w:rFonts w:cstheme="minorHAnsi"/>
                <w:sz w:val="20"/>
              </w:rPr>
              <w:t>Students examine the effects of prejudice and discrimination with regard to race, class, gender, sexual orientation, religion and disability status. Artifact requires analysis of politics of location on an individual level as well as within the study of a local and global context.</w:t>
            </w:r>
          </w:p>
          <w:p w14:paraId="5E147D71" w14:textId="77777777" w:rsidR="00800C7D" w:rsidRPr="00BB2174" w:rsidRDefault="00800C7D" w:rsidP="00DF7E0D">
            <w:pPr>
              <w:rPr>
                <w:rFonts w:cstheme="minorHAnsi"/>
                <w:sz w:val="20"/>
              </w:rPr>
            </w:pPr>
          </w:p>
          <w:p w14:paraId="05CF892D" w14:textId="77777777" w:rsidR="00BB2174" w:rsidRPr="00BB2174" w:rsidRDefault="00BB2174" w:rsidP="00DF7E0D">
            <w:pPr>
              <w:spacing w:before="120"/>
              <w:rPr>
                <w:rFonts w:cstheme="minorHAnsi"/>
                <w:sz w:val="20"/>
              </w:rPr>
            </w:pPr>
            <w:r w:rsidRPr="00BB2174">
              <w:rPr>
                <w:rFonts w:cstheme="minorHAnsi"/>
                <w:i/>
                <w:sz w:val="20"/>
              </w:rPr>
              <w:t>Evaluation Process</w:t>
            </w:r>
            <w:r w:rsidRPr="00BB2174">
              <w:rPr>
                <w:rFonts w:cstheme="minorHAnsi"/>
                <w:sz w:val="20"/>
              </w:rPr>
              <w:t>:</w:t>
            </w:r>
          </w:p>
          <w:p w14:paraId="05CE2A3D" w14:textId="77777777" w:rsidR="00BB2174" w:rsidRDefault="00BB2174" w:rsidP="00DF7E0D">
            <w:pPr>
              <w:spacing w:after="120"/>
              <w:rPr>
                <w:rFonts w:cstheme="minorHAnsi"/>
                <w:sz w:val="20"/>
              </w:rPr>
            </w:pPr>
            <w:r w:rsidRPr="00BB2174">
              <w:rPr>
                <w:rFonts w:cstheme="minorHAnsi"/>
                <w:sz w:val="20"/>
              </w:rPr>
              <w:t>Scale of 100</w:t>
            </w:r>
          </w:p>
          <w:p w14:paraId="531D3749" w14:textId="77777777" w:rsidR="00800C7D" w:rsidRPr="00BB2174" w:rsidRDefault="00800C7D" w:rsidP="00DF7E0D">
            <w:pPr>
              <w:spacing w:after="120"/>
              <w:rPr>
                <w:rFonts w:cstheme="minorHAnsi"/>
                <w:sz w:val="20"/>
              </w:rPr>
            </w:pPr>
          </w:p>
          <w:p w14:paraId="5137240D" w14:textId="77777777" w:rsidR="00BB2174" w:rsidRPr="00BB2174" w:rsidRDefault="00BB2174" w:rsidP="00DF7E0D">
            <w:pPr>
              <w:spacing w:before="120" w:after="120"/>
              <w:contextualSpacing/>
              <w:rPr>
                <w:rFonts w:cstheme="minorHAnsi"/>
                <w:sz w:val="20"/>
              </w:rPr>
            </w:pPr>
            <w:r w:rsidRPr="00BB2174">
              <w:rPr>
                <w:rFonts w:cstheme="minorHAnsi"/>
                <w:i/>
                <w:sz w:val="20"/>
              </w:rPr>
              <w:t>Minimum Criteria for Success</w:t>
            </w:r>
            <w:r w:rsidRPr="00BB2174">
              <w:rPr>
                <w:rFonts w:cstheme="minorHAnsi"/>
                <w:sz w:val="20"/>
              </w:rPr>
              <w:t>:</w:t>
            </w:r>
          </w:p>
          <w:p w14:paraId="4B6EE1E9" w14:textId="76BBFB44" w:rsidR="00BB2174" w:rsidRDefault="00BB2174" w:rsidP="00DF7E0D">
            <w:pPr>
              <w:spacing w:after="120"/>
              <w:rPr>
                <w:rFonts w:cstheme="minorHAnsi"/>
                <w:sz w:val="20"/>
              </w:rPr>
            </w:pPr>
            <w:r w:rsidRPr="00BB2174">
              <w:rPr>
                <w:rFonts w:cstheme="minorHAnsi"/>
                <w:sz w:val="20"/>
              </w:rPr>
              <w:t>Score of 80 points or higher</w:t>
            </w:r>
            <w:r w:rsidR="00892EF6">
              <w:rPr>
                <w:rFonts w:cstheme="minorHAnsi"/>
                <w:sz w:val="20"/>
              </w:rPr>
              <w:t>. 75% of students will achieve 80</w:t>
            </w:r>
            <w:r w:rsidR="00892EF6" w:rsidRPr="00892EF6">
              <w:rPr>
                <w:rFonts w:cstheme="minorHAnsi"/>
                <w:sz w:val="20"/>
              </w:rPr>
              <w:t xml:space="preserve"> out of 10</w:t>
            </w:r>
            <w:r w:rsidR="00892EF6">
              <w:rPr>
                <w:rFonts w:cstheme="minorHAnsi"/>
                <w:sz w:val="20"/>
              </w:rPr>
              <w:t>0</w:t>
            </w:r>
            <w:r w:rsidR="00892EF6" w:rsidRPr="00892EF6">
              <w:rPr>
                <w:rFonts w:cstheme="minorHAnsi"/>
                <w:sz w:val="20"/>
              </w:rPr>
              <w:t xml:space="preserve"> points on the rubric.</w:t>
            </w:r>
          </w:p>
          <w:p w14:paraId="22DEC031" w14:textId="77777777" w:rsidR="00800C7D" w:rsidRPr="00BB2174" w:rsidRDefault="00800C7D" w:rsidP="00DF7E0D">
            <w:pPr>
              <w:spacing w:after="120"/>
              <w:rPr>
                <w:rFonts w:cstheme="minorHAnsi"/>
                <w:sz w:val="20"/>
              </w:rPr>
            </w:pPr>
          </w:p>
          <w:p w14:paraId="6DC31E0B" w14:textId="77777777" w:rsidR="00892EF6" w:rsidRDefault="00BB2174" w:rsidP="00892EF6">
            <w:pPr>
              <w:rPr>
                <w:rFonts w:cstheme="minorHAnsi"/>
                <w:sz w:val="20"/>
              </w:rPr>
            </w:pPr>
            <w:r w:rsidRPr="00BB2174">
              <w:rPr>
                <w:rFonts w:cstheme="minorHAnsi"/>
                <w:i/>
                <w:sz w:val="20"/>
              </w:rPr>
              <w:t>Sample</w:t>
            </w:r>
            <w:r w:rsidR="00892EF6">
              <w:rPr>
                <w:rFonts w:cstheme="minorHAnsi"/>
                <w:sz w:val="20"/>
              </w:rPr>
              <w:t xml:space="preserve">: </w:t>
            </w:r>
            <w:r w:rsidRPr="00BB2174">
              <w:rPr>
                <w:rFonts w:cstheme="minorHAnsi"/>
                <w:sz w:val="20"/>
              </w:rPr>
              <w:t>All students will be assessed.</w:t>
            </w:r>
            <w:r w:rsidR="00892EF6">
              <w:rPr>
                <w:rFonts w:cstheme="minorHAnsi"/>
                <w:sz w:val="20"/>
              </w:rPr>
              <w:t xml:space="preserve"> </w:t>
            </w:r>
          </w:p>
          <w:p w14:paraId="514F6A88" w14:textId="49CE5261" w:rsidR="00800C7D" w:rsidRPr="00BB2174" w:rsidRDefault="00800C7D" w:rsidP="00892EF6">
            <w:pPr>
              <w:rPr>
                <w:i/>
                <w:color w:val="0070C0"/>
                <w:sz w:val="20"/>
              </w:rPr>
            </w:pPr>
          </w:p>
        </w:tc>
        <w:tc>
          <w:tcPr>
            <w:tcW w:w="4343" w:type="dxa"/>
            <w:vMerge w:val="restart"/>
          </w:tcPr>
          <w:p w14:paraId="6EB6CCAE" w14:textId="77777777" w:rsidR="00BB2174" w:rsidRPr="00C01161" w:rsidRDefault="00BB2174" w:rsidP="00351663">
            <w:pPr>
              <w:rPr>
                <w:i/>
                <w:color w:val="0070C0"/>
                <w:sz w:val="20"/>
              </w:rPr>
            </w:pPr>
            <w:r w:rsidRPr="00C01161">
              <w:rPr>
                <w:i/>
                <w:color w:val="0070C0"/>
                <w:sz w:val="20"/>
              </w:rPr>
              <w:t xml:space="preserve">To </w:t>
            </w:r>
            <w:r>
              <w:rPr>
                <w:i/>
                <w:color w:val="0070C0"/>
                <w:sz w:val="20"/>
              </w:rPr>
              <w:t>be entered after each time course is taught</w:t>
            </w:r>
          </w:p>
          <w:p w14:paraId="75D710EA" w14:textId="77777777" w:rsidR="00BB2174" w:rsidRPr="003D281E" w:rsidRDefault="00BB2174" w:rsidP="00351663">
            <w:pPr>
              <w:rPr>
                <w:sz w:val="22"/>
              </w:rPr>
            </w:pPr>
          </w:p>
          <w:p w14:paraId="56B0DBD0" w14:textId="77777777" w:rsidR="00BB2174" w:rsidRPr="003D281E" w:rsidRDefault="00BB2174" w:rsidP="00351663">
            <w:pPr>
              <w:rPr>
                <w:sz w:val="22"/>
              </w:rPr>
            </w:pPr>
          </w:p>
          <w:p w14:paraId="59EDAFAD" w14:textId="77777777" w:rsidR="00BB2174" w:rsidRPr="003D281E" w:rsidRDefault="00BB2174" w:rsidP="00351663">
            <w:pPr>
              <w:rPr>
                <w:sz w:val="22"/>
              </w:rPr>
            </w:pPr>
          </w:p>
          <w:p w14:paraId="0E795605" w14:textId="77777777" w:rsidR="00BB2174" w:rsidRPr="003D281E" w:rsidRDefault="00BB2174" w:rsidP="00351663">
            <w:pPr>
              <w:rPr>
                <w:sz w:val="22"/>
              </w:rPr>
            </w:pPr>
          </w:p>
          <w:p w14:paraId="5FE5ACF2" w14:textId="77777777" w:rsidR="00BB2174" w:rsidRPr="003D281E" w:rsidRDefault="00BB2174" w:rsidP="00351663">
            <w:pPr>
              <w:rPr>
                <w:sz w:val="22"/>
              </w:rPr>
            </w:pPr>
          </w:p>
          <w:p w14:paraId="0928A36C" w14:textId="77777777" w:rsidR="00BB2174" w:rsidRPr="003D281E" w:rsidRDefault="00BB2174" w:rsidP="00351663">
            <w:pPr>
              <w:rPr>
                <w:sz w:val="22"/>
              </w:rPr>
            </w:pPr>
          </w:p>
          <w:p w14:paraId="77122219" w14:textId="77777777" w:rsidR="00BB2174" w:rsidRPr="003D281E" w:rsidRDefault="00BB2174" w:rsidP="00351663">
            <w:pPr>
              <w:rPr>
                <w:sz w:val="22"/>
              </w:rPr>
            </w:pPr>
          </w:p>
          <w:p w14:paraId="0DB31E4F" w14:textId="77777777" w:rsidR="00BB2174" w:rsidRPr="003D281E" w:rsidRDefault="00BB2174" w:rsidP="00351663">
            <w:pPr>
              <w:rPr>
                <w:sz w:val="22"/>
              </w:rPr>
            </w:pPr>
          </w:p>
          <w:p w14:paraId="2B9E6EAE" w14:textId="77777777" w:rsidR="00BB2174" w:rsidRPr="003D281E" w:rsidRDefault="00BB2174" w:rsidP="00351663">
            <w:pPr>
              <w:rPr>
                <w:sz w:val="22"/>
              </w:rPr>
            </w:pPr>
          </w:p>
          <w:p w14:paraId="7808C29A" w14:textId="77777777" w:rsidR="00BB2174" w:rsidRPr="003D281E" w:rsidRDefault="00BB2174" w:rsidP="00351663">
            <w:pPr>
              <w:rPr>
                <w:sz w:val="22"/>
              </w:rPr>
            </w:pPr>
          </w:p>
          <w:p w14:paraId="031E9366" w14:textId="77777777" w:rsidR="00BB2174" w:rsidRPr="003D281E" w:rsidRDefault="00BB2174" w:rsidP="00351663">
            <w:pPr>
              <w:rPr>
                <w:sz w:val="22"/>
              </w:rPr>
            </w:pPr>
          </w:p>
          <w:p w14:paraId="47095080" w14:textId="77777777" w:rsidR="00BB2174" w:rsidRPr="003D281E" w:rsidRDefault="00BB2174" w:rsidP="00351663">
            <w:pPr>
              <w:rPr>
                <w:sz w:val="22"/>
              </w:rPr>
            </w:pPr>
          </w:p>
          <w:p w14:paraId="4B620AEE" w14:textId="77777777" w:rsidR="00BB2174" w:rsidRPr="003D281E" w:rsidRDefault="00BB2174" w:rsidP="00351663">
            <w:pPr>
              <w:rPr>
                <w:sz w:val="22"/>
              </w:rPr>
            </w:pPr>
          </w:p>
          <w:p w14:paraId="0B4A216F" w14:textId="77777777" w:rsidR="00BB2174" w:rsidRPr="003D281E" w:rsidRDefault="00BB2174" w:rsidP="00351663">
            <w:pPr>
              <w:rPr>
                <w:sz w:val="22"/>
              </w:rPr>
            </w:pPr>
          </w:p>
          <w:p w14:paraId="35F1520D" w14:textId="77777777" w:rsidR="00BB2174" w:rsidRPr="003D281E" w:rsidRDefault="00BB2174" w:rsidP="00351663">
            <w:pPr>
              <w:rPr>
                <w:sz w:val="22"/>
              </w:rPr>
            </w:pPr>
          </w:p>
          <w:p w14:paraId="05E59571" w14:textId="77777777" w:rsidR="00BB2174" w:rsidRPr="003D281E" w:rsidRDefault="00BB2174" w:rsidP="00351663">
            <w:pPr>
              <w:rPr>
                <w:sz w:val="22"/>
              </w:rPr>
            </w:pPr>
          </w:p>
        </w:tc>
      </w:tr>
      <w:tr w:rsidR="00E06F48" w:rsidRPr="00F632F6" w14:paraId="155C2CB9" w14:textId="77777777">
        <w:trPr>
          <w:trHeight w:val="260"/>
        </w:trPr>
        <w:tc>
          <w:tcPr>
            <w:tcW w:w="4145" w:type="dxa"/>
          </w:tcPr>
          <w:p w14:paraId="268FDF94" w14:textId="6E881574"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419E58CE" w:rsidR="00E06F48" w:rsidRPr="00BB2174" w:rsidRDefault="00BB2174" w:rsidP="00BB2174">
            <w:pPr>
              <w:spacing w:before="120" w:after="120"/>
              <w:rPr>
                <w:i/>
                <w:color w:val="0070C0"/>
                <w:sz w:val="20"/>
                <w:szCs w:val="20"/>
              </w:rPr>
            </w:pPr>
            <w:r w:rsidRPr="00BB2174">
              <w:rPr>
                <w:sz w:val="20"/>
                <w:szCs w:val="20"/>
              </w:rPr>
              <w:t xml:space="preserve">Students </w:t>
            </w:r>
            <w:r w:rsidRPr="00BB2174">
              <w:rPr>
                <w:rFonts w:cstheme="minorHAnsi"/>
                <w:sz w:val="20"/>
                <w:szCs w:val="20"/>
              </w:rPr>
              <w:t xml:space="preserve">will be able to demonstrate awareness of interrelated </w:t>
            </w:r>
            <w:r w:rsidRPr="00BB2174">
              <w:rPr>
                <w:sz w:val="20"/>
                <w:szCs w:val="20"/>
              </w:rPr>
              <w:t xml:space="preserve">socio-cultural, historical, political and economic forces that shape the construction of difference in local and global cultures, and examine </w:t>
            </w:r>
            <w:r w:rsidRPr="00BB2174">
              <w:rPr>
                <w:rFonts w:cstheme="minorHAnsi"/>
                <w:sz w:val="20"/>
                <w:szCs w:val="20"/>
              </w:rPr>
              <w:t>how cultural values shape and impact decisions and actions across the globe.</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238598C6" w:rsidR="00BB2174" w:rsidRDefault="00BB2174" w:rsidP="00351663">
      <w:pPr>
        <w:rPr>
          <w:rFonts w:ascii="Times New Roman" w:hAnsi="Times New Roman"/>
          <w:b/>
        </w:rPr>
      </w:pPr>
    </w:p>
    <w:p w14:paraId="00D5C224" w14:textId="25F95868" w:rsidR="00E06F48" w:rsidRDefault="00BB2174" w:rsidP="00800C7D">
      <w:pPr>
        <w:rPr>
          <w:rFonts w:ascii="Times New Roman" w:hAnsi="Times New Roman"/>
          <w:b/>
        </w:rPr>
      </w:pPr>
      <w:r>
        <w:rPr>
          <w:rFonts w:ascii="Times New Roman" w:hAnsi="Times New Roman"/>
          <w:b/>
        </w:rPr>
        <w:br w:type="page"/>
      </w: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BB2174" w:rsidRPr="00F632F6" w14:paraId="32AB8E2E" w14:textId="77777777" w:rsidTr="00347297">
        <w:trPr>
          <w:trHeight w:val="1140"/>
        </w:trPr>
        <w:tc>
          <w:tcPr>
            <w:tcW w:w="4145" w:type="dxa"/>
          </w:tcPr>
          <w:p w14:paraId="09F2FF05" w14:textId="77777777" w:rsidR="00BB2174" w:rsidRPr="003D281E" w:rsidRDefault="00BB2174" w:rsidP="00351663">
            <w:pPr>
              <w:rPr>
                <w:b/>
                <w:color w:val="0070C0"/>
                <w:sz w:val="22"/>
                <w:u w:val="single"/>
              </w:rPr>
            </w:pPr>
          </w:p>
          <w:p w14:paraId="71647BC9" w14:textId="77777777" w:rsidR="00800C7D" w:rsidRDefault="00BB2174" w:rsidP="00351663">
            <w:pPr>
              <w:rPr>
                <w:b/>
                <w:sz w:val="20"/>
              </w:rPr>
            </w:pPr>
            <w:r w:rsidRPr="00E06F48">
              <w:rPr>
                <w:b/>
                <w:sz w:val="20"/>
                <w:u w:val="single"/>
              </w:rPr>
              <w:t>Global Perspective</w:t>
            </w:r>
            <w:r w:rsidRPr="00E06F48">
              <w:rPr>
                <w:b/>
                <w:sz w:val="20"/>
              </w:rPr>
              <w:t xml:space="preserve">: </w:t>
            </w:r>
          </w:p>
          <w:p w14:paraId="4A2E2893" w14:textId="36EDCE86" w:rsidR="00BB2174" w:rsidRPr="00E06F48" w:rsidRDefault="00BB2174" w:rsidP="00351663">
            <w:pPr>
              <w:rPr>
                <w:sz w:val="20"/>
              </w:rPr>
            </w:pPr>
            <w:r>
              <w:rPr>
                <w:sz w:val="20"/>
              </w:rPr>
              <w:t>Students will be able to conduct</w:t>
            </w:r>
            <w:r w:rsidRPr="00E06F48">
              <w:rPr>
                <w:sz w:val="20"/>
              </w:rPr>
              <w:t xml:space="preserve"> a multi-perspective analysis of local, global, international, and intercultural problems</w:t>
            </w:r>
            <w:r>
              <w:rPr>
                <w:sz w:val="20"/>
              </w:rPr>
              <w:t>.</w:t>
            </w:r>
          </w:p>
          <w:p w14:paraId="67D76D5C" w14:textId="77777777" w:rsidR="00BB2174" w:rsidRPr="003D281E" w:rsidRDefault="00BB2174" w:rsidP="00351663">
            <w:pPr>
              <w:rPr>
                <w:b/>
                <w:color w:val="0070C0"/>
                <w:sz w:val="22"/>
                <w:u w:val="single"/>
              </w:rPr>
            </w:pPr>
          </w:p>
        </w:tc>
        <w:tc>
          <w:tcPr>
            <w:tcW w:w="4343" w:type="dxa"/>
            <w:vMerge w:val="restart"/>
            <w:shd w:val="clear" w:color="auto" w:fill="auto"/>
          </w:tcPr>
          <w:p w14:paraId="557F7B5B" w14:textId="77777777" w:rsidR="00BB2174" w:rsidRPr="002D44A5" w:rsidRDefault="00BB2174" w:rsidP="00DF7E0D">
            <w:pPr>
              <w:spacing w:before="120" w:after="120"/>
              <w:rPr>
                <w:rFonts w:cs="Arial"/>
                <w:sz w:val="20"/>
                <w:szCs w:val="22"/>
              </w:rPr>
            </w:pPr>
            <w:r w:rsidRPr="002D44A5">
              <w:rPr>
                <w:rFonts w:cs="Arial"/>
                <w:b/>
                <w:sz w:val="20"/>
                <w:szCs w:val="22"/>
              </w:rPr>
              <w:t>Assessment Activity/Artifact</w:t>
            </w:r>
            <w:r w:rsidRPr="002D44A5">
              <w:rPr>
                <w:rFonts w:cs="Arial"/>
                <w:sz w:val="20"/>
                <w:szCs w:val="22"/>
              </w:rPr>
              <w:t>:</w:t>
            </w:r>
          </w:p>
          <w:p w14:paraId="16AC42E7" w14:textId="77777777" w:rsidR="00BB2174" w:rsidRPr="002D44A5" w:rsidRDefault="00BB2174" w:rsidP="00DF7E0D">
            <w:pPr>
              <w:spacing w:before="120" w:after="120"/>
              <w:contextualSpacing/>
              <w:rPr>
                <w:rFonts w:cs="Arial"/>
                <w:i/>
                <w:sz w:val="20"/>
                <w:szCs w:val="22"/>
              </w:rPr>
            </w:pPr>
            <w:r w:rsidRPr="002D44A5">
              <w:rPr>
                <w:rFonts w:cs="Arial"/>
                <w:i/>
                <w:sz w:val="20"/>
                <w:szCs w:val="22"/>
              </w:rPr>
              <w:t>Final Class Paper</w:t>
            </w:r>
          </w:p>
          <w:p w14:paraId="698F6085" w14:textId="6C85529E" w:rsidR="00BB2174" w:rsidRPr="002D44A5" w:rsidRDefault="002D44A5" w:rsidP="00DF7E0D">
            <w:pPr>
              <w:spacing w:before="120" w:after="120"/>
              <w:contextualSpacing/>
              <w:rPr>
                <w:rFonts w:cs="Arial"/>
                <w:sz w:val="20"/>
                <w:szCs w:val="22"/>
              </w:rPr>
            </w:pPr>
            <w:r>
              <w:rPr>
                <w:rFonts w:cs="Arial"/>
                <w:sz w:val="20"/>
                <w:szCs w:val="22"/>
              </w:rPr>
              <w:t xml:space="preserve">Part of Active Learning Component; Students will conduct </w:t>
            </w:r>
            <w:r w:rsidR="00BB2174" w:rsidRPr="002D44A5">
              <w:rPr>
                <w:rFonts w:cs="Arial"/>
                <w:sz w:val="20"/>
                <w:szCs w:val="22"/>
              </w:rPr>
              <w:t xml:space="preserve">Individual Research </w:t>
            </w:r>
            <w:r>
              <w:rPr>
                <w:rFonts w:cs="Arial"/>
                <w:sz w:val="20"/>
                <w:szCs w:val="22"/>
              </w:rPr>
              <w:t xml:space="preserve">in a global context and compare the results with </w:t>
            </w:r>
            <w:r w:rsidR="00E7651E">
              <w:rPr>
                <w:rFonts w:cs="Arial"/>
                <w:sz w:val="20"/>
                <w:szCs w:val="22"/>
              </w:rPr>
              <w:t xml:space="preserve">Group Work </w:t>
            </w:r>
            <w:r>
              <w:rPr>
                <w:rFonts w:cs="Arial"/>
                <w:sz w:val="20"/>
                <w:szCs w:val="22"/>
              </w:rPr>
              <w:t xml:space="preserve">findings from </w:t>
            </w:r>
            <w:r w:rsidR="00E7651E">
              <w:rPr>
                <w:rFonts w:cs="Arial"/>
                <w:sz w:val="20"/>
                <w:szCs w:val="22"/>
              </w:rPr>
              <w:t xml:space="preserve">a </w:t>
            </w:r>
            <w:r>
              <w:rPr>
                <w:rFonts w:cs="Arial"/>
                <w:sz w:val="20"/>
                <w:szCs w:val="22"/>
              </w:rPr>
              <w:t>local framework</w:t>
            </w:r>
            <w:r w:rsidR="00E7651E">
              <w:rPr>
                <w:rFonts w:cs="Arial"/>
                <w:sz w:val="20"/>
                <w:szCs w:val="22"/>
              </w:rPr>
              <w:t>. (Student conclusions will result in</w:t>
            </w:r>
            <w:r w:rsidR="00BB2174" w:rsidRPr="002D44A5">
              <w:rPr>
                <w:rFonts w:cs="Arial"/>
                <w:sz w:val="20"/>
                <w:szCs w:val="22"/>
              </w:rPr>
              <w:t xml:space="preserve"> in Written and Oral Artifact</w:t>
            </w:r>
            <w:r w:rsidR="00BB2174" w:rsidRPr="002D44A5">
              <w:rPr>
                <w:rStyle w:val="CommentReference"/>
                <w:rFonts w:cs="Arial"/>
                <w:sz w:val="20"/>
                <w:szCs w:val="22"/>
              </w:rPr>
              <w:t>)</w:t>
            </w:r>
          </w:p>
          <w:p w14:paraId="3C76CEE5" w14:textId="77777777" w:rsidR="00BB2174" w:rsidRPr="002D44A5" w:rsidRDefault="00BB2174" w:rsidP="00DF7E0D">
            <w:pPr>
              <w:spacing w:before="120" w:after="120"/>
              <w:rPr>
                <w:rFonts w:cs="Arial"/>
                <w:sz w:val="20"/>
                <w:szCs w:val="22"/>
              </w:rPr>
            </w:pPr>
          </w:p>
          <w:p w14:paraId="34EBF558" w14:textId="77777777" w:rsidR="00BB2174" w:rsidRPr="002D44A5" w:rsidRDefault="00BB2174" w:rsidP="00DF7E0D">
            <w:pPr>
              <w:spacing w:before="120"/>
              <w:rPr>
                <w:rFonts w:cs="Arial"/>
                <w:sz w:val="20"/>
                <w:szCs w:val="22"/>
              </w:rPr>
            </w:pPr>
            <w:r w:rsidRPr="002D44A5">
              <w:rPr>
                <w:rFonts w:cs="Arial"/>
                <w:i/>
                <w:sz w:val="20"/>
                <w:szCs w:val="22"/>
              </w:rPr>
              <w:t>Evaluation Process</w:t>
            </w:r>
            <w:r w:rsidRPr="002D44A5">
              <w:rPr>
                <w:rFonts w:cs="Arial"/>
                <w:sz w:val="20"/>
                <w:szCs w:val="22"/>
              </w:rPr>
              <w:t>:</w:t>
            </w:r>
          </w:p>
          <w:p w14:paraId="5B2FF5C0" w14:textId="77777777" w:rsidR="00BB2174" w:rsidRDefault="00BB2174" w:rsidP="00DF7E0D">
            <w:pPr>
              <w:spacing w:after="120"/>
              <w:rPr>
                <w:rFonts w:cs="Arial"/>
                <w:sz w:val="20"/>
                <w:szCs w:val="22"/>
              </w:rPr>
            </w:pPr>
            <w:r w:rsidRPr="002D44A5">
              <w:rPr>
                <w:rFonts w:cs="Arial"/>
                <w:sz w:val="20"/>
                <w:szCs w:val="22"/>
              </w:rPr>
              <w:t>Scale of 100</w:t>
            </w:r>
          </w:p>
          <w:p w14:paraId="431E1469" w14:textId="77777777" w:rsidR="00800C7D" w:rsidRPr="002D44A5" w:rsidRDefault="00800C7D" w:rsidP="00DF7E0D">
            <w:pPr>
              <w:spacing w:after="120"/>
              <w:rPr>
                <w:rFonts w:cs="Arial"/>
                <w:sz w:val="20"/>
                <w:szCs w:val="22"/>
              </w:rPr>
            </w:pPr>
          </w:p>
          <w:p w14:paraId="59F3BD36" w14:textId="77777777" w:rsidR="00BB2174" w:rsidRPr="002D44A5" w:rsidRDefault="00BB2174" w:rsidP="00DF7E0D">
            <w:pPr>
              <w:spacing w:before="120" w:after="120"/>
              <w:contextualSpacing/>
              <w:rPr>
                <w:rFonts w:cs="Arial"/>
                <w:sz w:val="20"/>
                <w:szCs w:val="22"/>
              </w:rPr>
            </w:pPr>
            <w:r w:rsidRPr="002D44A5">
              <w:rPr>
                <w:rFonts w:cs="Arial"/>
                <w:i/>
                <w:sz w:val="20"/>
                <w:szCs w:val="22"/>
              </w:rPr>
              <w:t>Minimum Criteria for Success</w:t>
            </w:r>
            <w:r w:rsidRPr="002D44A5">
              <w:rPr>
                <w:rFonts w:cs="Arial"/>
                <w:sz w:val="20"/>
                <w:szCs w:val="22"/>
              </w:rPr>
              <w:t>:</w:t>
            </w:r>
          </w:p>
          <w:p w14:paraId="7896C4F2" w14:textId="77777777" w:rsidR="00892EF6" w:rsidRDefault="00892EF6" w:rsidP="00351663">
            <w:pPr>
              <w:rPr>
                <w:rFonts w:cstheme="minorHAnsi"/>
                <w:sz w:val="20"/>
              </w:rPr>
            </w:pPr>
            <w:r w:rsidRPr="00BB2174">
              <w:rPr>
                <w:rFonts w:cstheme="minorHAnsi"/>
                <w:sz w:val="20"/>
              </w:rPr>
              <w:t>Score of 80 points or higher</w:t>
            </w:r>
            <w:r>
              <w:rPr>
                <w:rFonts w:cstheme="minorHAnsi"/>
                <w:sz w:val="20"/>
              </w:rPr>
              <w:t>. 75% of students will achieve 80</w:t>
            </w:r>
            <w:r w:rsidRPr="00892EF6">
              <w:rPr>
                <w:rFonts w:cstheme="minorHAnsi"/>
                <w:sz w:val="20"/>
              </w:rPr>
              <w:t xml:space="preserve"> out of 10</w:t>
            </w:r>
            <w:r>
              <w:rPr>
                <w:rFonts w:cstheme="minorHAnsi"/>
                <w:sz w:val="20"/>
              </w:rPr>
              <w:t>0</w:t>
            </w:r>
            <w:r w:rsidRPr="00892EF6">
              <w:rPr>
                <w:rFonts w:cstheme="minorHAnsi"/>
                <w:sz w:val="20"/>
              </w:rPr>
              <w:t xml:space="preserve"> points on the rubric.</w:t>
            </w:r>
          </w:p>
          <w:p w14:paraId="7401DF4D" w14:textId="77777777" w:rsidR="00800C7D" w:rsidRDefault="00800C7D" w:rsidP="00351663">
            <w:pPr>
              <w:rPr>
                <w:rFonts w:cstheme="minorHAnsi"/>
                <w:sz w:val="20"/>
              </w:rPr>
            </w:pPr>
          </w:p>
          <w:p w14:paraId="03205FB9" w14:textId="77777777" w:rsidR="00892EF6" w:rsidRDefault="00892EF6" w:rsidP="00351663">
            <w:pPr>
              <w:rPr>
                <w:rFonts w:cstheme="minorHAnsi"/>
                <w:sz w:val="20"/>
              </w:rPr>
            </w:pPr>
          </w:p>
          <w:p w14:paraId="06E0810A" w14:textId="77777777" w:rsidR="00BB2174" w:rsidRDefault="00BB2174" w:rsidP="00351663">
            <w:pPr>
              <w:rPr>
                <w:rFonts w:cs="Arial"/>
                <w:sz w:val="20"/>
                <w:szCs w:val="22"/>
              </w:rPr>
            </w:pPr>
            <w:r w:rsidRPr="002D44A5">
              <w:rPr>
                <w:rFonts w:cs="Arial"/>
                <w:i/>
                <w:sz w:val="20"/>
                <w:szCs w:val="22"/>
              </w:rPr>
              <w:t>Sample</w:t>
            </w:r>
            <w:r w:rsidRPr="002D44A5">
              <w:rPr>
                <w:rFonts w:cs="Arial"/>
                <w:sz w:val="20"/>
                <w:szCs w:val="22"/>
              </w:rPr>
              <w:t>:</w:t>
            </w:r>
            <w:r w:rsidRPr="002D44A5">
              <w:rPr>
                <w:rFonts w:cs="Arial"/>
                <w:sz w:val="20"/>
                <w:szCs w:val="22"/>
              </w:rPr>
              <w:br/>
              <w:t>All students will be assessed.</w:t>
            </w:r>
          </w:p>
          <w:p w14:paraId="27031866" w14:textId="4B0E6AB4" w:rsidR="00800C7D" w:rsidRPr="002D44A5" w:rsidRDefault="00800C7D" w:rsidP="00351663">
            <w:pPr>
              <w:rPr>
                <w:rFonts w:cs="Arial"/>
                <w:i/>
                <w:color w:val="0070C0"/>
                <w:sz w:val="20"/>
                <w:szCs w:val="22"/>
              </w:rPr>
            </w:pPr>
          </w:p>
        </w:tc>
        <w:tc>
          <w:tcPr>
            <w:tcW w:w="4343" w:type="dxa"/>
            <w:vMerge w:val="restart"/>
          </w:tcPr>
          <w:p w14:paraId="3CCBC338" w14:textId="77777777" w:rsidR="00BB2174" w:rsidRPr="00C01161" w:rsidRDefault="00BB2174"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B2174" w:rsidRPr="003D281E" w:rsidRDefault="00BB2174" w:rsidP="00B95595">
            <w:pPr>
              <w:rPr>
                <w:sz w:val="22"/>
              </w:rPr>
            </w:pPr>
          </w:p>
          <w:p w14:paraId="3D6EC63A" w14:textId="77777777" w:rsidR="00BB2174" w:rsidRPr="003D281E" w:rsidRDefault="00BB2174" w:rsidP="00351663">
            <w:pPr>
              <w:rPr>
                <w:sz w:val="22"/>
              </w:rPr>
            </w:pPr>
          </w:p>
          <w:p w14:paraId="5DB76A12" w14:textId="77777777" w:rsidR="00BB2174" w:rsidRPr="003D281E" w:rsidRDefault="00BB2174" w:rsidP="00351663">
            <w:pPr>
              <w:rPr>
                <w:sz w:val="22"/>
              </w:rPr>
            </w:pPr>
          </w:p>
          <w:p w14:paraId="606D2DEC" w14:textId="77777777" w:rsidR="00BB2174" w:rsidRPr="003D281E" w:rsidRDefault="00BB2174" w:rsidP="00351663">
            <w:pPr>
              <w:rPr>
                <w:sz w:val="22"/>
              </w:rPr>
            </w:pPr>
          </w:p>
          <w:p w14:paraId="57879A76" w14:textId="77777777" w:rsidR="00BB2174" w:rsidRPr="003D281E" w:rsidRDefault="00BB2174" w:rsidP="00351663">
            <w:pPr>
              <w:rPr>
                <w:sz w:val="22"/>
              </w:rPr>
            </w:pPr>
          </w:p>
          <w:p w14:paraId="083D9802" w14:textId="77777777" w:rsidR="00BB2174" w:rsidRPr="003D281E" w:rsidRDefault="00BB2174" w:rsidP="00351663">
            <w:pPr>
              <w:rPr>
                <w:sz w:val="22"/>
              </w:rPr>
            </w:pPr>
          </w:p>
          <w:p w14:paraId="3DFD30DC" w14:textId="77777777" w:rsidR="00BB2174" w:rsidRPr="003D281E" w:rsidRDefault="00BB2174" w:rsidP="00351663">
            <w:pPr>
              <w:rPr>
                <w:sz w:val="22"/>
              </w:rPr>
            </w:pPr>
          </w:p>
          <w:p w14:paraId="3548413D" w14:textId="77777777" w:rsidR="00BB2174" w:rsidRPr="003D281E" w:rsidRDefault="00BB2174" w:rsidP="00351663">
            <w:pPr>
              <w:rPr>
                <w:sz w:val="22"/>
              </w:rPr>
            </w:pPr>
          </w:p>
          <w:p w14:paraId="2FFB886B" w14:textId="77777777" w:rsidR="00BB2174" w:rsidRPr="003D281E" w:rsidRDefault="00BB2174" w:rsidP="00351663">
            <w:pPr>
              <w:rPr>
                <w:sz w:val="22"/>
              </w:rPr>
            </w:pPr>
          </w:p>
          <w:p w14:paraId="5FAD40BE" w14:textId="77777777" w:rsidR="00BB2174" w:rsidRPr="003D281E" w:rsidRDefault="00BB2174" w:rsidP="00351663">
            <w:pPr>
              <w:rPr>
                <w:sz w:val="22"/>
              </w:rPr>
            </w:pPr>
          </w:p>
          <w:p w14:paraId="1499AAFE" w14:textId="77777777" w:rsidR="00BB2174" w:rsidRPr="003D281E" w:rsidRDefault="00BB2174" w:rsidP="00351663">
            <w:pPr>
              <w:rPr>
                <w:sz w:val="22"/>
              </w:rPr>
            </w:pPr>
          </w:p>
          <w:p w14:paraId="66419050" w14:textId="77777777" w:rsidR="00BB2174" w:rsidRPr="003D281E" w:rsidRDefault="00BB2174" w:rsidP="00351663">
            <w:pPr>
              <w:rPr>
                <w:sz w:val="22"/>
              </w:rPr>
            </w:pPr>
          </w:p>
          <w:p w14:paraId="7C4A362F" w14:textId="77777777" w:rsidR="00BB2174" w:rsidRPr="003D281E" w:rsidRDefault="00BB2174" w:rsidP="00351663">
            <w:pPr>
              <w:rPr>
                <w:sz w:val="22"/>
              </w:rPr>
            </w:pPr>
          </w:p>
          <w:p w14:paraId="460DA335" w14:textId="77777777" w:rsidR="00BB2174" w:rsidRPr="003D281E" w:rsidRDefault="00BB2174" w:rsidP="00351663">
            <w:pPr>
              <w:rPr>
                <w:sz w:val="22"/>
              </w:rPr>
            </w:pPr>
          </w:p>
          <w:p w14:paraId="143B0518" w14:textId="77777777" w:rsidR="00BB2174" w:rsidRPr="003D281E" w:rsidRDefault="00BB2174" w:rsidP="00351663">
            <w:pPr>
              <w:rPr>
                <w:sz w:val="22"/>
              </w:rPr>
            </w:pPr>
          </w:p>
          <w:p w14:paraId="373F1F38" w14:textId="77777777" w:rsidR="00BB2174" w:rsidRPr="003D281E" w:rsidRDefault="00BB2174" w:rsidP="00351663">
            <w:pPr>
              <w:rPr>
                <w:sz w:val="22"/>
              </w:rPr>
            </w:pPr>
          </w:p>
          <w:p w14:paraId="0B9D7559" w14:textId="77777777" w:rsidR="00BB2174" w:rsidRPr="003D281E" w:rsidRDefault="00BB2174" w:rsidP="00351663">
            <w:pPr>
              <w:rPr>
                <w:sz w:val="22"/>
              </w:rPr>
            </w:pPr>
          </w:p>
        </w:tc>
      </w:tr>
      <w:tr w:rsidR="00E06F48" w:rsidRPr="00F632F6" w14:paraId="56E5860A" w14:textId="77777777" w:rsidTr="0034729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shd w:val="clear" w:color="auto" w:fill="auto"/>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BB2174" w:rsidRPr="00F632F6" w14:paraId="3523A353" w14:textId="77777777" w:rsidTr="00347297">
        <w:trPr>
          <w:trHeight w:val="2393"/>
        </w:trPr>
        <w:tc>
          <w:tcPr>
            <w:tcW w:w="4145" w:type="dxa"/>
            <w:shd w:val="clear" w:color="auto" w:fill="auto"/>
          </w:tcPr>
          <w:p w14:paraId="3E541137" w14:textId="0BF089BE" w:rsidR="00F56149" w:rsidRPr="002D44A5" w:rsidRDefault="00F56149" w:rsidP="00F56149">
            <w:pPr>
              <w:spacing w:before="120" w:after="120"/>
              <w:rPr>
                <w:rFonts w:cstheme="minorHAnsi"/>
                <w:sz w:val="20"/>
              </w:rPr>
            </w:pPr>
            <w:r w:rsidRPr="00F56149">
              <w:rPr>
                <w:rFonts w:cstheme="minorHAnsi"/>
                <w:sz w:val="20"/>
              </w:rPr>
              <w:t xml:space="preserve">Students will be able to analyze how a form of privilege/inequality (e.g. </w:t>
            </w:r>
            <w:proofErr w:type="spellStart"/>
            <w:r w:rsidRPr="00F56149">
              <w:rPr>
                <w:rFonts w:cstheme="minorHAnsi"/>
                <w:sz w:val="20"/>
              </w:rPr>
              <w:t>ableism</w:t>
            </w:r>
            <w:proofErr w:type="spellEnd"/>
            <w:r w:rsidRPr="00F56149">
              <w:rPr>
                <w:rFonts w:cstheme="minorHAnsi"/>
                <w:sz w:val="20"/>
              </w:rPr>
              <w:t>, racism, sexism, classism) prevails globally, internationally, or interculturally, and manifests in diverse locales including institutions, organizations, and policies across the world</w:t>
            </w:r>
            <w:r>
              <w:rPr>
                <w:rFonts w:cstheme="minorHAnsi"/>
                <w:sz w:val="20"/>
              </w:rPr>
              <w:t>.</w:t>
            </w:r>
          </w:p>
        </w:tc>
        <w:tc>
          <w:tcPr>
            <w:tcW w:w="4343" w:type="dxa"/>
            <w:vMerge/>
            <w:shd w:val="clear" w:color="auto" w:fill="auto"/>
          </w:tcPr>
          <w:p w14:paraId="3A252DD1" w14:textId="77777777" w:rsidR="00BB2174" w:rsidRPr="003D281E" w:rsidRDefault="00BB2174" w:rsidP="00351663">
            <w:pPr>
              <w:rPr>
                <w:sz w:val="22"/>
              </w:rPr>
            </w:pPr>
          </w:p>
        </w:tc>
        <w:tc>
          <w:tcPr>
            <w:tcW w:w="4343" w:type="dxa"/>
            <w:vMerge/>
          </w:tcPr>
          <w:p w14:paraId="3F5B85AA" w14:textId="77777777" w:rsidR="00BB2174" w:rsidRPr="003D281E" w:rsidRDefault="00BB2174"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4394CA01" w14:textId="5261756A" w:rsidR="00E06F48" w:rsidRDefault="00BB2174" w:rsidP="00800C7D">
      <w:pPr>
        <w:rPr>
          <w:rFonts w:ascii="Times New Roman" w:hAnsi="Times New Roman"/>
          <w:b/>
        </w:rPr>
      </w:pPr>
      <w:r>
        <w:rPr>
          <w:rFonts w:ascii="Times New Roman" w:hAnsi="Times New Roman"/>
          <w:b/>
        </w:rPr>
        <w:br w:type="page"/>
      </w: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BB2174" w:rsidRPr="00F632F6" w14:paraId="1A29FCF4" w14:textId="77777777">
        <w:trPr>
          <w:trHeight w:val="1140"/>
        </w:trPr>
        <w:tc>
          <w:tcPr>
            <w:tcW w:w="4145" w:type="dxa"/>
          </w:tcPr>
          <w:p w14:paraId="563AC212" w14:textId="77777777" w:rsidR="00BB2174" w:rsidRDefault="00BB2174" w:rsidP="00351663">
            <w:pPr>
              <w:rPr>
                <w:b/>
                <w:sz w:val="20"/>
                <w:u w:val="single"/>
              </w:rPr>
            </w:pPr>
          </w:p>
          <w:p w14:paraId="22EC02CD" w14:textId="77777777" w:rsidR="00800C7D" w:rsidRDefault="00BB2174" w:rsidP="00351663">
            <w:pPr>
              <w:rPr>
                <w:b/>
                <w:sz w:val="20"/>
              </w:rPr>
            </w:pPr>
            <w:r w:rsidRPr="00E06F48">
              <w:rPr>
                <w:b/>
                <w:sz w:val="20"/>
                <w:u w:val="single"/>
              </w:rPr>
              <w:t>Global Engagement</w:t>
            </w:r>
            <w:r w:rsidRPr="00E06F48">
              <w:rPr>
                <w:b/>
                <w:sz w:val="20"/>
              </w:rPr>
              <w:t xml:space="preserve">: </w:t>
            </w:r>
          </w:p>
          <w:p w14:paraId="27340747" w14:textId="53343C47" w:rsidR="00BB2174" w:rsidRPr="003F3DB7" w:rsidRDefault="00BB2174" w:rsidP="00351663">
            <w:pPr>
              <w:rPr>
                <w:color w:val="0070C0"/>
                <w:sz w:val="22"/>
              </w:rPr>
            </w:pPr>
            <w:bookmarkStart w:id="0" w:name="_GoBack"/>
            <w:bookmarkEnd w:id="0"/>
            <w:r>
              <w:rPr>
                <w:sz w:val="20"/>
              </w:rPr>
              <w:t>Students will be able to demonstrate w</w:t>
            </w:r>
            <w:r w:rsidRPr="00E06F48">
              <w:rPr>
                <w:sz w:val="20"/>
              </w:rPr>
              <w:t>illingness to engage in local, global, international, and intercultural problem solving</w:t>
            </w:r>
            <w:r>
              <w:rPr>
                <w:sz w:val="20"/>
              </w:rPr>
              <w:t>.</w:t>
            </w:r>
          </w:p>
          <w:p w14:paraId="1208075D" w14:textId="77777777" w:rsidR="00BB2174" w:rsidRPr="003D281E" w:rsidRDefault="00BB2174" w:rsidP="00351663">
            <w:pPr>
              <w:rPr>
                <w:b/>
                <w:color w:val="0070C0"/>
                <w:sz w:val="22"/>
                <w:u w:val="single"/>
              </w:rPr>
            </w:pPr>
          </w:p>
        </w:tc>
        <w:tc>
          <w:tcPr>
            <w:tcW w:w="4343" w:type="dxa"/>
            <w:vMerge w:val="restart"/>
          </w:tcPr>
          <w:p w14:paraId="55637C41" w14:textId="77777777" w:rsidR="00BB2174" w:rsidRPr="00BB2174" w:rsidRDefault="00BB2174" w:rsidP="00DF7E0D">
            <w:pPr>
              <w:spacing w:before="120" w:after="120"/>
              <w:rPr>
                <w:rFonts w:cstheme="minorHAnsi"/>
                <w:sz w:val="20"/>
              </w:rPr>
            </w:pPr>
            <w:r w:rsidRPr="00BB2174">
              <w:rPr>
                <w:rFonts w:cstheme="minorHAnsi"/>
                <w:b/>
                <w:sz w:val="20"/>
              </w:rPr>
              <w:t>Assessment</w:t>
            </w:r>
            <w:r w:rsidRPr="00BB2174">
              <w:rPr>
                <w:rFonts w:cstheme="minorHAnsi"/>
                <w:sz w:val="20"/>
              </w:rPr>
              <w:t xml:space="preserve"> </w:t>
            </w:r>
            <w:r w:rsidRPr="00BB2174">
              <w:rPr>
                <w:rFonts w:cstheme="minorHAnsi"/>
                <w:b/>
                <w:sz w:val="20"/>
              </w:rPr>
              <w:t>Activity/Artifact:</w:t>
            </w:r>
          </w:p>
          <w:p w14:paraId="64A2B1D6" w14:textId="77777777" w:rsidR="00BB2174" w:rsidRPr="00BB2174" w:rsidRDefault="00BB2174" w:rsidP="00DF7E0D">
            <w:pPr>
              <w:spacing w:before="120" w:after="60"/>
              <w:rPr>
                <w:rFonts w:cstheme="minorHAnsi"/>
                <w:sz w:val="20"/>
              </w:rPr>
            </w:pPr>
            <w:r w:rsidRPr="00BB2174">
              <w:rPr>
                <w:rFonts w:cstheme="minorHAnsi"/>
                <w:i/>
                <w:sz w:val="20"/>
              </w:rPr>
              <w:t xml:space="preserve">Active Learning Component: </w:t>
            </w:r>
            <w:r w:rsidRPr="00BB2174">
              <w:rPr>
                <w:rFonts w:cstheme="minorHAnsi"/>
                <w:i/>
                <w:sz w:val="20"/>
              </w:rPr>
              <w:br/>
            </w:r>
            <w:r w:rsidRPr="00BB2174">
              <w:rPr>
                <w:rFonts w:cstheme="minorHAnsi"/>
                <w:sz w:val="20"/>
              </w:rPr>
              <w:t xml:space="preserve">Group Work resulting in Research Report (in form of blog entry; video; journal article; document; </w:t>
            </w:r>
            <w:proofErr w:type="spellStart"/>
            <w:r w:rsidRPr="00BB2174">
              <w:rPr>
                <w:rFonts w:cstheme="minorHAnsi"/>
                <w:sz w:val="20"/>
              </w:rPr>
              <w:t>etc</w:t>
            </w:r>
            <w:proofErr w:type="spellEnd"/>
            <w:r w:rsidRPr="00BB2174">
              <w:rPr>
                <w:rFonts w:cstheme="minorHAnsi"/>
                <w:sz w:val="20"/>
              </w:rPr>
              <w:t>)</w:t>
            </w:r>
            <w:r w:rsidRPr="00BB2174">
              <w:rPr>
                <w:rFonts w:cstheme="minorHAnsi"/>
                <w:sz w:val="20"/>
              </w:rPr>
              <w:br/>
              <w:t>At the end of the term, students will reflect on their learning process by evaluating in what ways they might effect change on an individual as well as local and global level (format: class blog).</w:t>
            </w:r>
          </w:p>
          <w:p w14:paraId="508D51FB" w14:textId="77777777" w:rsidR="00BB2174" w:rsidRPr="00BB2174" w:rsidRDefault="00BB2174" w:rsidP="00DF7E0D">
            <w:pPr>
              <w:spacing w:before="120"/>
              <w:rPr>
                <w:rFonts w:cstheme="minorHAnsi"/>
                <w:sz w:val="20"/>
              </w:rPr>
            </w:pPr>
          </w:p>
          <w:p w14:paraId="588EF1F5" w14:textId="77777777" w:rsidR="00BB2174" w:rsidRPr="00BB2174" w:rsidRDefault="00BB2174" w:rsidP="00DF7E0D">
            <w:pPr>
              <w:spacing w:before="120"/>
              <w:rPr>
                <w:rFonts w:cstheme="minorHAnsi"/>
                <w:sz w:val="20"/>
              </w:rPr>
            </w:pPr>
            <w:r w:rsidRPr="00BB2174">
              <w:rPr>
                <w:rFonts w:cstheme="minorHAnsi"/>
                <w:i/>
                <w:sz w:val="20"/>
              </w:rPr>
              <w:t>Evaluation Process</w:t>
            </w:r>
            <w:r w:rsidRPr="00BB2174">
              <w:rPr>
                <w:rFonts w:cstheme="minorHAnsi"/>
                <w:sz w:val="20"/>
              </w:rPr>
              <w:t>:</w:t>
            </w:r>
          </w:p>
          <w:p w14:paraId="7EE533CB" w14:textId="77777777" w:rsidR="00BB2174" w:rsidRDefault="00BB2174" w:rsidP="00DF7E0D">
            <w:pPr>
              <w:spacing w:after="120"/>
              <w:rPr>
                <w:rFonts w:cstheme="minorHAnsi"/>
                <w:sz w:val="20"/>
              </w:rPr>
            </w:pPr>
            <w:r w:rsidRPr="00BB2174">
              <w:rPr>
                <w:rFonts w:cstheme="minorHAnsi"/>
                <w:sz w:val="20"/>
              </w:rPr>
              <w:t>Scale of 100</w:t>
            </w:r>
          </w:p>
          <w:p w14:paraId="7FE247E8" w14:textId="77777777" w:rsidR="00800C7D" w:rsidRPr="00BB2174" w:rsidRDefault="00800C7D" w:rsidP="00DF7E0D">
            <w:pPr>
              <w:spacing w:after="120"/>
              <w:rPr>
                <w:rFonts w:cstheme="minorHAnsi"/>
                <w:sz w:val="20"/>
              </w:rPr>
            </w:pPr>
          </w:p>
          <w:p w14:paraId="3A00F340" w14:textId="77777777" w:rsidR="00BB2174" w:rsidRPr="00BB2174" w:rsidRDefault="00BB2174" w:rsidP="00DF7E0D">
            <w:pPr>
              <w:spacing w:before="120" w:after="120"/>
              <w:contextualSpacing/>
              <w:rPr>
                <w:rFonts w:cstheme="minorHAnsi"/>
                <w:sz w:val="20"/>
              </w:rPr>
            </w:pPr>
            <w:r w:rsidRPr="00BB2174">
              <w:rPr>
                <w:rFonts w:cstheme="minorHAnsi"/>
                <w:i/>
                <w:sz w:val="20"/>
              </w:rPr>
              <w:t>Minimum Criteria for Success</w:t>
            </w:r>
            <w:r w:rsidRPr="00BB2174">
              <w:rPr>
                <w:rFonts w:cstheme="minorHAnsi"/>
                <w:sz w:val="20"/>
              </w:rPr>
              <w:t>:</w:t>
            </w:r>
          </w:p>
          <w:p w14:paraId="5180A582" w14:textId="35AAEFE5" w:rsidR="00BB2174" w:rsidRDefault="00892EF6" w:rsidP="00DF7E0D">
            <w:pPr>
              <w:spacing w:after="120"/>
              <w:rPr>
                <w:rFonts w:cstheme="minorHAnsi"/>
                <w:sz w:val="20"/>
              </w:rPr>
            </w:pPr>
            <w:r w:rsidRPr="00BB2174">
              <w:rPr>
                <w:rFonts w:cstheme="minorHAnsi"/>
                <w:sz w:val="20"/>
              </w:rPr>
              <w:t>Score of 80 points or higher</w:t>
            </w:r>
            <w:r>
              <w:rPr>
                <w:rFonts w:cstheme="minorHAnsi"/>
                <w:sz w:val="20"/>
              </w:rPr>
              <w:t>. 75% of students will achieve 80</w:t>
            </w:r>
            <w:r w:rsidRPr="00892EF6">
              <w:rPr>
                <w:rFonts w:cstheme="minorHAnsi"/>
                <w:sz w:val="20"/>
              </w:rPr>
              <w:t xml:space="preserve"> out of 10</w:t>
            </w:r>
            <w:r>
              <w:rPr>
                <w:rFonts w:cstheme="minorHAnsi"/>
                <w:sz w:val="20"/>
              </w:rPr>
              <w:t>0</w:t>
            </w:r>
            <w:r w:rsidRPr="00892EF6">
              <w:rPr>
                <w:rFonts w:cstheme="minorHAnsi"/>
                <w:sz w:val="20"/>
              </w:rPr>
              <w:t xml:space="preserve"> points on the rubric.</w:t>
            </w:r>
          </w:p>
          <w:p w14:paraId="26ED9EC5" w14:textId="77777777" w:rsidR="00800C7D" w:rsidRPr="00BB2174" w:rsidRDefault="00800C7D" w:rsidP="00DF7E0D">
            <w:pPr>
              <w:spacing w:after="120"/>
              <w:rPr>
                <w:rFonts w:cstheme="minorHAnsi"/>
                <w:sz w:val="20"/>
              </w:rPr>
            </w:pPr>
          </w:p>
          <w:p w14:paraId="04F0BF6A" w14:textId="77777777" w:rsidR="00BB2174" w:rsidRDefault="00BB2174" w:rsidP="00351663">
            <w:pPr>
              <w:rPr>
                <w:rFonts w:cstheme="minorHAnsi"/>
                <w:sz w:val="20"/>
              </w:rPr>
            </w:pPr>
            <w:r w:rsidRPr="00BB2174">
              <w:rPr>
                <w:rFonts w:cstheme="minorHAnsi"/>
                <w:i/>
                <w:sz w:val="20"/>
              </w:rPr>
              <w:t>Sample</w:t>
            </w:r>
            <w:r w:rsidRPr="00BB2174">
              <w:rPr>
                <w:rFonts w:cstheme="minorHAnsi"/>
                <w:sz w:val="20"/>
              </w:rPr>
              <w:t xml:space="preserve">: </w:t>
            </w:r>
            <w:r w:rsidRPr="00BB2174">
              <w:rPr>
                <w:rFonts w:cstheme="minorHAnsi"/>
                <w:sz w:val="20"/>
              </w:rPr>
              <w:br/>
              <w:t>All students will be assessed.</w:t>
            </w:r>
          </w:p>
          <w:p w14:paraId="2E757104" w14:textId="4F5A3C19" w:rsidR="00800C7D" w:rsidRPr="00BB2174" w:rsidRDefault="00800C7D" w:rsidP="00351663">
            <w:pPr>
              <w:rPr>
                <w:i/>
                <w:color w:val="0070C0"/>
                <w:sz w:val="20"/>
              </w:rPr>
            </w:pPr>
          </w:p>
        </w:tc>
        <w:tc>
          <w:tcPr>
            <w:tcW w:w="4343" w:type="dxa"/>
            <w:vMerge w:val="restart"/>
          </w:tcPr>
          <w:p w14:paraId="6A7D646B" w14:textId="77777777" w:rsidR="00BB2174" w:rsidRPr="00C01161" w:rsidRDefault="00BB2174"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B2174" w:rsidRPr="003D281E" w:rsidRDefault="00BB2174" w:rsidP="00B95595">
            <w:pPr>
              <w:rPr>
                <w:sz w:val="22"/>
              </w:rPr>
            </w:pPr>
          </w:p>
          <w:p w14:paraId="0AB8C770" w14:textId="77777777" w:rsidR="00BB2174" w:rsidRPr="003D281E" w:rsidRDefault="00BB2174" w:rsidP="00351663">
            <w:pPr>
              <w:rPr>
                <w:sz w:val="22"/>
              </w:rPr>
            </w:pPr>
          </w:p>
          <w:p w14:paraId="6DC7C9A2" w14:textId="77777777" w:rsidR="00BB2174" w:rsidRPr="003D281E" w:rsidRDefault="00BB2174" w:rsidP="00351663">
            <w:pPr>
              <w:rPr>
                <w:sz w:val="22"/>
              </w:rPr>
            </w:pPr>
          </w:p>
          <w:p w14:paraId="248F43AA" w14:textId="77777777" w:rsidR="00BB2174" w:rsidRPr="003D281E" w:rsidRDefault="00BB2174" w:rsidP="00351663">
            <w:pPr>
              <w:rPr>
                <w:sz w:val="22"/>
              </w:rPr>
            </w:pPr>
          </w:p>
          <w:p w14:paraId="27239552" w14:textId="77777777" w:rsidR="00BB2174" w:rsidRPr="003D281E" w:rsidRDefault="00BB2174" w:rsidP="00351663">
            <w:pPr>
              <w:rPr>
                <w:sz w:val="22"/>
              </w:rPr>
            </w:pPr>
          </w:p>
          <w:p w14:paraId="1B2425FC" w14:textId="77777777" w:rsidR="00BB2174" w:rsidRPr="003D281E" w:rsidRDefault="00BB2174" w:rsidP="00351663">
            <w:pPr>
              <w:rPr>
                <w:sz w:val="22"/>
              </w:rPr>
            </w:pPr>
          </w:p>
          <w:p w14:paraId="54D1FB0E" w14:textId="77777777" w:rsidR="00BB2174" w:rsidRPr="003D281E" w:rsidRDefault="00BB2174" w:rsidP="00351663">
            <w:pPr>
              <w:rPr>
                <w:sz w:val="22"/>
              </w:rPr>
            </w:pPr>
          </w:p>
          <w:p w14:paraId="16991F01" w14:textId="77777777" w:rsidR="00BB2174" w:rsidRPr="003D281E" w:rsidRDefault="00BB2174" w:rsidP="00351663">
            <w:pPr>
              <w:rPr>
                <w:sz w:val="22"/>
              </w:rPr>
            </w:pPr>
          </w:p>
          <w:p w14:paraId="0B4737D1" w14:textId="77777777" w:rsidR="00BB2174" w:rsidRPr="003D281E" w:rsidRDefault="00BB2174" w:rsidP="00351663">
            <w:pPr>
              <w:rPr>
                <w:sz w:val="22"/>
              </w:rPr>
            </w:pPr>
          </w:p>
          <w:p w14:paraId="46350738" w14:textId="77777777" w:rsidR="00BB2174" w:rsidRPr="003D281E" w:rsidRDefault="00BB2174" w:rsidP="00351663">
            <w:pPr>
              <w:rPr>
                <w:sz w:val="22"/>
              </w:rPr>
            </w:pPr>
          </w:p>
          <w:p w14:paraId="7B62D551" w14:textId="77777777" w:rsidR="00BB2174" w:rsidRPr="003D281E" w:rsidRDefault="00BB2174" w:rsidP="00351663">
            <w:pPr>
              <w:rPr>
                <w:sz w:val="22"/>
              </w:rPr>
            </w:pPr>
          </w:p>
          <w:p w14:paraId="199E8CCC" w14:textId="77777777" w:rsidR="00BB2174" w:rsidRPr="003D281E" w:rsidRDefault="00BB2174" w:rsidP="00351663">
            <w:pPr>
              <w:rPr>
                <w:sz w:val="22"/>
              </w:rPr>
            </w:pPr>
          </w:p>
          <w:p w14:paraId="728C3810" w14:textId="77777777" w:rsidR="00BB2174" w:rsidRPr="003D281E" w:rsidRDefault="00BB2174" w:rsidP="00351663">
            <w:pPr>
              <w:rPr>
                <w:sz w:val="22"/>
              </w:rPr>
            </w:pPr>
          </w:p>
          <w:p w14:paraId="084FA25F" w14:textId="77777777" w:rsidR="00BB2174" w:rsidRPr="003D281E" w:rsidRDefault="00BB2174" w:rsidP="00351663">
            <w:pPr>
              <w:rPr>
                <w:sz w:val="22"/>
              </w:rPr>
            </w:pPr>
          </w:p>
          <w:p w14:paraId="7214C0FE" w14:textId="77777777" w:rsidR="00BB2174" w:rsidRPr="003D281E" w:rsidRDefault="00BB2174" w:rsidP="00351663">
            <w:pPr>
              <w:rPr>
                <w:sz w:val="22"/>
              </w:rPr>
            </w:pPr>
          </w:p>
          <w:p w14:paraId="213CD01A" w14:textId="77777777" w:rsidR="00BB2174" w:rsidRPr="003D281E" w:rsidRDefault="00BB2174" w:rsidP="00351663">
            <w:pPr>
              <w:rPr>
                <w:sz w:val="22"/>
              </w:rPr>
            </w:pPr>
          </w:p>
          <w:p w14:paraId="35084ACA" w14:textId="77777777" w:rsidR="00BB2174" w:rsidRPr="003D281E" w:rsidRDefault="00BB2174"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BB2174" w:rsidRPr="00F632F6" w14:paraId="3A9F76CC" w14:textId="77777777">
        <w:trPr>
          <w:trHeight w:val="2393"/>
        </w:trPr>
        <w:tc>
          <w:tcPr>
            <w:tcW w:w="4145" w:type="dxa"/>
          </w:tcPr>
          <w:p w14:paraId="1E1E0D1C" w14:textId="78DF94A8" w:rsidR="00BB2174" w:rsidRPr="00BB2174" w:rsidRDefault="00BB2174" w:rsidP="00BB2174">
            <w:pPr>
              <w:spacing w:before="120" w:after="120"/>
              <w:rPr>
                <w:i/>
                <w:color w:val="0070C0"/>
                <w:sz w:val="20"/>
              </w:rPr>
            </w:pPr>
            <w:r w:rsidRPr="00BB2174">
              <w:rPr>
                <w:rFonts w:cstheme="minorHAnsi"/>
                <w:sz w:val="20"/>
              </w:rPr>
              <w:t xml:space="preserve">Students will be able to demonstrate acceptance of shared responsibility for respecting cultural difference, as well as engaging in solving local, global and intercultural experiences of inequalities whether in terms of race, class, gender, </w:t>
            </w:r>
            <w:proofErr w:type="gramStart"/>
            <w:r w:rsidRPr="00BB2174">
              <w:rPr>
                <w:rFonts w:cstheme="minorHAnsi"/>
                <w:sz w:val="20"/>
              </w:rPr>
              <w:t>sexual</w:t>
            </w:r>
            <w:proofErr w:type="gramEnd"/>
            <w:r w:rsidRPr="00BB2174">
              <w:rPr>
                <w:rFonts w:cstheme="minorHAnsi"/>
                <w:sz w:val="20"/>
              </w:rPr>
              <w:t xml:space="preserve"> orientation, religion or disability status.</w:t>
            </w:r>
          </w:p>
        </w:tc>
        <w:tc>
          <w:tcPr>
            <w:tcW w:w="4343" w:type="dxa"/>
            <w:vMerge/>
          </w:tcPr>
          <w:p w14:paraId="01E9AE03" w14:textId="77777777" w:rsidR="00BB2174" w:rsidRPr="003D281E" w:rsidRDefault="00BB2174" w:rsidP="00351663">
            <w:pPr>
              <w:rPr>
                <w:sz w:val="22"/>
              </w:rPr>
            </w:pPr>
          </w:p>
        </w:tc>
        <w:tc>
          <w:tcPr>
            <w:tcW w:w="4343" w:type="dxa"/>
            <w:vMerge/>
          </w:tcPr>
          <w:p w14:paraId="7CC55D76" w14:textId="77777777" w:rsidR="00BB2174" w:rsidRPr="003D281E" w:rsidRDefault="00BB2174"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2D44A5" w:rsidRDefault="002D44A5">
      <w:r>
        <w:separator/>
      </w:r>
    </w:p>
  </w:endnote>
  <w:endnote w:type="continuationSeparator" w:id="0">
    <w:p w14:paraId="109A313A" w14:textId="77777777" w:rsidR="002D44A5" w:rsidRDefault="002D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2D44A5" w:rsidRDefault="002D44A5"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2D44A5" w:rsidRDefault="002D44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2D44A5" w:rsidRPr="0022452E" w:rsidRDefault="002D44A5" w:rsidP="00E06F48">
    <w:pPr>
      <w:pStyle w:val="Footer"/>
      <w:framePr w:wrap="around" w:vAnchor="text" w:hAnchor="page" w:x="7801" w:y="-115"/>
      <w:rPr>
        <w:rStyle w:val="PageNumber"/>
        <w:sz w:val="20"/>
      </w:rPr>
    </w:pPr>
    <w:r w:rsidRPr="0022452E">
      <w:rPr>
        <w:rStyle w:val="PageNumber"/>
        <w:sz w:val="16"/>
      </w:rPr>
      <w:fldChar w:fldCharType="begin"/>
    </w:r>
    <w:r w:rsidRPr="0022452E">
      <w:rPr>
        <w:rStyle w:val="PageNumber"/>
        <w:sz w:val="16"/>
      </w:rPr>
      <w:instrText xml:space="preserve">PAGE  </w:instrText>
    </w:r>
    <w:r w:rsidRPr="0022452E">
      <w:rPr>
        <w:rStyle w:val="PageNumber"/>
        <w:sz w:val="16"/>
      </w:rPr>
      <w:fldChar w:fldCharType="separate"/>
    </w:r>
    <w:r w:rsidR="00800C7D">
      <w:rPr>
        <w:rStyle w:val="PageNumber"/>
        <w:noProof/>
        <w:sz w:val="16"/>
      </w:rPr>
      <w:t>1</w:t>
    </w:r>
    <w:r w:rsidRPr="0022452E">
      <w:rPr>
        <w:rStyle w:val="PageNumber"/>
        <w:sz w:val="16"/>
      </w:rPr>
      <w:fldChar w:fldCharType="end"/>
    </w:r>
  </w:p>
  <w:p w14:paraId="0820744C" w14:textId="6816BDFD" w:rsidR="002D44A5" w:rsidRPr="007D21C5" w:rsidRDefault="002D44A5" w:rsidP="0022452E">
    <w:pPr>
      <w:pStyle w:val="Footer"/>
      <w:ind w:right="1008"/>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2D44A5" w:rsidRDefault="002D44A5">
      <w:r>
        <w:separator/>
      </w:r>
    </w:p>
  </w:footnote>
  <w:footnote w:type="continuationSeparator" w:id="0">
    <w:p w14:paraId="7697417F" w14:textId="77777777" w:rsidR="002D44A5" w:rsidRDefault="002D4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2D44A5" w:rsidRDefault="002D44A5" w:rsidP="00581F94">
    <w:pPr>
      <w:jc w:val="center"/>
      <w:rPr>
        <w:b/>
        <w:sz w:val="20"/>
      </w:rPr>
    </w:pPr>
    <w:r w:rsidRPr="00581F94">
      <w:rPr>
        <w:b/>
        <w:noProof/>
        <w:sz w:val="20"/>
      </w:rPr>
      <w:drawing>
        <wp:inline distT="0" distB="0" distL="0" distR="0" wp14:anchorId="065A5915" wp14:editId="531831C6">
          <wp:extent cx="2470464" cy="569068"/>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2D44A5" w:rsidRPr="00FD3E31" w:rsidRDefault="002D44A5" w:rsidP="00BB2174">
    <w:pPr>
      <w:ind w:left="180"/>
      <w:rPr>
        <w:b/>
        <w:sz w:val="28"/>
        <w:szCs w:val="28"/>
      </w:rPr>
    </w:pPr>
    <w:r w:rsidRPr="00FD3E31">
      <w:rPr>
        <w:b/>
        <w:sz w:val="28"/>
        <w:szCs w:val="28"/>
      </w:rPr>
      <w:t>Global Learning Course</w:t>
    </w:r>
  </w:p>
  <w:p w14:paraId="57C20E13" w14:textId="32CD2BF7" w:rsidR="002D44A5" w:rsidRDefault="002D44A5" w:rsidP="00BB2174">
    <w:pPr>
      <w:ind w:left="180"/>
      <w:rPr>
        <w:b/>
        <w:sz w:val="28"/>
        <w:szCs w:val="28"/>
      </w:rPr>
    </w:pPr>
    <w:r w:rsidRPr="00FD3E31">
      <w:rPr>
        <w:b/>
        <w:sz w:val="28"/>
        <w:szCs w:val="28"/>
      </w:rPr>
      <w:t xml:space="preserve">Assessment Matrix </w:t>
    </w:r>
  </w:p>
  <w:p w14:paraId="041C7229" w14:textId="77777777" w:rsidR="002D44A5" w:rsidRPr="00FD3E31" w:rsidRDefault="002D44A5" w:rsidP="00BB2174">
    <w:pPr>
      <w:ind w:left="180"/>
      <w:rPr>
        <w:b/>
        <w:sz w:val="16"/>
        <w:szCs w:val="16"/>
      </w:rPr>
    </w:pPr>
  </w:p>
  <w:p w14:paraId="37997F31" w14:textId="77777777" w:rsidR="002D44A5" w:rsidRPr="007A3E0C" w:rsidRDefault="002D44A5" w:rsidP="00BB2174">
    <w:pPr>
      <w:ind w:left="180"/>
      <w:rPr>
        <w:sz w:val="20"/>
        <w:szCs w:val="20"/>
      </w:rPr>
    </w:pPr>
    <w:r w:rsidRPr="007A3E0C">
      <w:rPr>
        <w:sz w:val="20"/>
        <w:szCs w:val="20"/>
      </w:rPr>
      <w:t>Faculty Name:</w:t>
    </w:r>
  </w:p>
  <w:p w14:paraId="16B15278" w14:textId="59CA5CCD" w:rsidR="002D44A5" w:rsidRPr="007A3E0C" w:rsidRDefault="002D44A5" w:rsidP="00BB2174">
    <w:pPr>
      <w:ind w:left="180"/>
      <w:rPr>
        <w:sz w:val="20"/>
        <w:szCs w:val="20"/>
      </w:rPr>
    </w:pPr>
    <w:r w:rsidRPr="007A3E0C">
      <w:rPr>
        <w:sz w:val="20"/>
        <w:szCs w:val="20"/>
      </w:rPr>
      <w:t xml:space="preserve">Course:  </w:t>
    </w:r>
    <w:r w:rsidR="007A3E0C" w:rsidRPr="007A3E0C">
      <w:rPr>
        <w:sz w:val="20"/>
        <w:szCs w:val="20"/>
      </w:rPr>
      <w:t xml:space="preserve">WST 3106 </w:t>
    </w:r>
    <w:r w:rsidR="007A3E0C" w:rsidRPr="007A3E0C">
      <w:rPr>
        <w:rFonts w:cstheme="minorHAnsi"/>
        <w:sz w:val="20"/>
        <w:szCs w:val="20"/>
      </w:rPr>
      <w:t>Introduction to Global Diversity</w:t>
    </w:r>
    <w:r w:rsidRPr="007A3E0C">
      <w:rPr>
        <w:sz w:val="20"/>
        <w:szCs w:val="20"/>
      </w:rPr>
      <w:tab/>
    </w:r>
  </w:p>
  <w:p w14:paraId="2BB58D01" w14:textId="538CDD59" w:rsidR="002D44A5" w:rsidRPr="007A3E0C" w:rsidRDefault="002D44A5" w:rsidP="00BB2174">
    <w:pPr>
      <w:ind w:left="180"/>
      <w:rPr>
        <w:sz w:val="20"/>
        <w:szCs w:val="20"/>
      </w:rPr>
    </w:pPr>
    <w:r w:rsidRPr="007A3E0C">
      <w:rPr>
        <w:sz w:val="20"/>
        <w:szCs w:val="20"/>
      </w:rPr>
      <w:t xml:space="preserve">Academic </w:t>
    </w:r>
    <w:r w:rsidR="00800C7D">
      <w:rPr>
        <w:sz w:val="20"/>
        <w:szCs w:val="20"/>
      </w:rPr>
      <w:t xml:space="preserve">Unit:  </w:t>
    </w:r>
    <w:r w:rsidRPr="007A3E0C">
      <w:rPr>
        <w:sz w:val="20"/>
        <w:szCs w:val="20"/>
      </w:rPr>
      <w:t xml:space="preserve">Women’s </w:t>
    </w:r>
    <w:r w:rsidR="00800C7D">
      <w:rPr>
        <w:sz w:val="20"/>
        <w:szCs w:val="20"/>
      </w:rPr>
      <w:t xml:space="preserve">and Gender </w:t>
    </w:r>
    <w:r w:rsidRPr="007A3E0C">
      <w:rPr>
        <w:sz w:val="20"/>
        <w:szCs w:val="20"/>
      </w:rPr>
      <w:t>Studies</w:t>
    </w:r>
    <w:r w:rsidR="00800C7D">
      <w:rPr>
        <w:sz w:val="20"/>
        <w:szCs w:val="20"/>
      </w:rPr>
      <w:tab/>
      <w:t xml:space="preserve">     Degree Program: BA/Certificate Women’s and Gender Studies     </w:t>
    </w:r>
    <w:r w:rsidRPr="007A3E0C">
      <w:rPr>
        <w:sz w:val="20"/>
        <w:szCs w:val="20"/>
      </w:rPr>
      <w:t>Semester Assessed:</w:t>
    </w:r>
    <w:r w:rsidRPr="007A3E0C">
      <w:rPr>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22452E"/>
    <w:rsid w:val="002434C6"/>
    <w:rsid w:val="002D44A5"/>
    <w:rsid w:val="00345845"/>
    <w:rsid w:val="00347297"/>
    <w:rsid w:val="00351663"/>
    <w:rsid w:val="003E132D"/>
    <w:rsid w:val="003F3DB7"/>
    <w:rsid w:val="00445D50"/>
    <w:rsid w:val="00521FFD"/>
    <w:rsid w:val="00581F94"/>
    <w:rsid w:val="005C58EB"/>
    <w:rsid w:val="0060282D"/>
    <w:rsid w:val="00620BF0"/>
    <w:rsid w:val="006A06CE"/>
    <w:rsid w:val="006F77DC"/>
    <w:rsid w:val="007505D0"/>
    <w:rsid w:val="007821C4"/>
    <w:rsid w:val="00795F81"/>
    <w:rsid w:val="007A3E0C"/>
    <w:rsid w:val="007D21C5"/>
    <w:rsid w:val="00800C7D"/>
    <w:rsid w:val="00892EF6"/>
    <w:rsid w:val="008E2DC9"/>
    <w:rsid w:val="00943D59"/>
    <w:rsid w:val="009B64D8"/>
    <w:rsid w:val="00B41437"/>
    <w:rsid w:val="00B95595"/>
    <w:rsid w:val="00BB2174"/>
    <w:rsid w:val="00C34F40"/>
    <w:rsid w:val="00C85AD3"/>
    <w:rsid w:val="00D46EE4"/>
    <w:rsid w:val="00D752D6"/>
    <w:rsid w:val="00DA5804"/>
    <w:rsid w:val="00DC61D0"/>
    <w:rsid w:val="00DF7E0D"/>
    <w:rsid w:val="00E06F48"/>
    <w:rsid w:val="00E6631C"/>
    <w:rsid w:val="00E7651E"/>
    <w:rsid w:val="00F45ECC"/>
    <w:rsid w:val="00F56149"/>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reference" w:uiPriority="99"/>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uiPriority w:val="99"/>
    <w:unhideWhenUsed/>
    <w:rsid w:val="00BB2174"/>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annotation reference" w:uiPriority="99"/>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character" w:styleId="CommentReference">
    <w:name w:val="annotation reference"/>
    <w:basedOn w:val="DefaultParagraphFont"/>
    <w:uiPriority w:val="99"/>
    <w:unhideWhenUsed/>
    <w:rsid w:val="00BB21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2016-09-20T19:47:00Z</dcterms:created>
  <dcterms:modified xsi:type="dcterms:W3CDTF">2016-09-20T19:47:00Z</dcterms:modified>
</cp:coreProperties>
</file>