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3E7F6" w14:textId="77777777" w:rsidR="00B436EA" w:rsidRPr="00FD3E31" w:rsidRDefault="00B436EA" w:rsidP="00B436EA">
      <w:pPr>
        <w:rPr>
          <w:rFonts w:ascii="Times New Roman" w:hAnsi="Times New Roman"/>
          <w:b/>
          <w:sz w:val="16"/>
          <w:szCs w:val="16"/>
        </w:rPr>
      </w:pPr>
    </w:p>
    <w:tbl>
      <w:tblPr>
        <w:tblW w:w="132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8460"/>
        <w:gridCol w:w="1980"/>
      </w:tblGrid>
      <w:tr w:rsidR="00B436EA" w:rsidRPr="00F632F6" w14:paraId="5F0A07BE" w14:textId="77777777" w:rsidTr="00F76D53">
        <w:trPr>
          <w:trHeight w:val="305"/>
          <w:tblHeader/>
        </w:trPr>
        <w:tc>
          <w:tcPr>
            <w:tcW w:w="2790" w:type="dxa"/>
          </w:tcPr>
          <w:p w14:paraId="48E6B5EA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460" w:type="dxa"/>
          </w:tcPr>
          <w:p w14:paraId="55DD9B10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1980" w:type="dxa"/>
          </w:tcPr>
          <w:p w14:paraId="31929279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62774104" w14:textId="77777777" w:rsidTr="00F76D53">
        <w:trPr>
          <w:trHeight w:val="1140"/>
        </w:trPr>
        <w:tc>
          <w:tcPr>
            <w:tcW w:w="2790" w:type="dxa"/>
          </w:tcPr>
          <w:p w14:paraId="1ED7F16C" w14:textId="4A9ED7A7" w:rsidR="00B436EA" w:rsidRPr="00E06F48" w:rsidRDefault="00B436EA" w:rsidP="00F76D5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 xml:space="preserve">nowledge of the interrelatedness of local, </w:t>
            </w:r>
            <w:r w:rsidR="00DA10EA">
              <w:rPr>
                <w:sz w:val="20"/>
              </w:rPr>
              <w:t xml:space="preserve">regional and </w:t>
            </w:r>
            <w:r w:rsidRPr="00E06F48">
              <w:rPr>
                <w:sz w:val="20"/>
              </w:rPr>
              <w:t>global</w:t>
            </w:r>
            <w:r w:rsidR="00DA10EA">
              <w:rPr>
                <w:sz w:val="20"/>
              </w:rPr>
              <w:t xml:space="preserve"> material and cultural interactions that occurred in early modern times.</w:t>
            </w:r>
          </w:p>
          <w:p w14:paraId="5D557734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460" w:type="dxa"/>
            <w:vMerge w:val="restart"/>
          </w:tcPr>
          <w:p w14:paraId="32CADDDC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Assessment Activity/Artifact:</w:t>
            </w:r>
          </w:p>
          <w:p w14:paraId="4CEFEE6E" w14:textId="3E02BA99" w:rsidR="00B436EA" w:rsidRPr="00400E07" w:rsidRDefault="00B436EA" w:rsidP="00F76D53">
            <w:pPr>
              <w:rPr>
                <w:sz w:val="20"/>
              </w:rPr>
            </w:pPr>
            <w:r w:rsidRPr="00EC1B73">
              <w:rPr>
                <w:sz w:val="20"/>
              </w:rPr>
              <w:t xml:space="preserve">Students will write </w:t>
            </w:r>
            <w:r w:rsidRPr="00EC1B73">
              <w:rPr>
                <w:sz w:val="20"/>
                <w:u w:val="single"/>
              </w:rPr>
              <w:t>two</w:t>
            </w:r>
            <w:r w:rsidRPr="00EC1B73">
              <w:rPr>
                <w:sz w:val="20"/>
              </w:rPr>
              <w:t xml:space="preserve"> 3-4 page</w:t>
            </w:r>
            <w:r>
              <w:rPr>
                <w:sz w:val="20"/>
              </w:rPr>
              <w:t>s</w:t>
            </w:r>
            <w:r w:rsidRPr="00EC1B73">
              <w:rPr>
                <w:sz w:val="20"/>
              </w:rPr>
              <w:t xml:space="preserve"> papers</w:t>
            </w:r>
            <w:r>
              <w:rPr>
                <w:sz w:val="20"/>
              </w:rPr>
              <w:t xml:space="preserve"> that challenge them to understand the </w:t>
            </w:r>
            <w:r w:rsidR="0088528E">
              <w:rPr>
                <w:sz w:val="20"/>
              </w:rPr>
              <w:t>phenomenon of piracy that</w:t>
            </w:r>
            <w:r>
              <w:rPr>
                <w:sz w:val="20"/>
              </w:rPr>
              <w:t xml:space="preserve"> developed across the world</w:t>
            </w:r>
            <w:r w:rsidR="0088528E">
              <w:rPr>
                <w:sz w:val="20"/>
              </w:rPr>
              <w:t xml:space="preserve"> between the sixteenth and eighteenth centuries</w:t>
            </w:r>
            <w:r>
              <w:rPr>
                <w:sz w:val="20"/>
              </w:rPr>
              <w:t>. In the first essay, students</w:t>
            </w:r>
            <w:r w:rsidRPr="00EC1B73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will </w:t>
            </w:r>
            <w:r w:rsidR="00D419F3">
              <w:rPr>
                <w:sz w:val="20"/>
              </w:rPr>
              <w:t xml:space="preserve">analyze the impact of Asian material culture in the New World, using objects of arts that </w:t>
            </w:r>
            <w:r w:rsidR="008C4F6C">
              <w:rPr>
                <w:sz w:val="20"/>
              </w:rPr>
              <w:t xml:space="preserve">unveil the fusion of Asian and New World elements. </w:t>
            </w:r>
            <w:r w:rsidRPr="00EC1B73">
              <w:rPr>
                <w:sz w:val="20"/>
              </w:rPr>
              <w:t>In the second p</w:t>
            </w:r>
            <w:r>
              <w:rPr>
                <w:sz w:val="20"/>
              </w:rPr>
              <w:t xml:space="preserve">aper, students will </w:t>
            </w:r>
            <w:r w:rsidR="00D419F3">
              <w:rPr>
                <w:sz w:val="20"/>
              </w:rPr>
              <w:t xml:space="preserve">examine </w:t>
            </w:r>
            <w:r w:rsidR="008C4F6C">
              <w:rPr>
                <w:sz w:val="20"/>
              </w:rPr>
              <w:t>the</w:t>
            </w:r>
            <w:r w:rsidR="00D419F3">
              <w:rPr>
                <w:sz w:val="20"/>
              </w:rPr>
              <w:t xml:space="preserve"> experiences of a Puerto Rican man in the Indian Ocean until his return to New Spain (modern Mexico)</w:t>
            </w:r>
            <w:r w:rsidR="008C4F6C">
              <w:rPr>
                <w:sz w:val="20"/>
              </w:rPr>
              <w:t>, and how the viceroy of this jurisdiction used this personal account to influence political decisions of the Spanish crown.</w:t>
            </w:r>
          </w:p>
          <w:p w14:paraId="2B9ADD2F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Evaluation Process:</w:t>
            </w:r>
          </w:p>
          <w:p w14:paraId="6F242B23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Papers will be evaluated based on the following criteria:</w:t>
            </w:r>
          </w:p>
          <w:p w14:paraId="5997E077" w14:textId="77777777" w:rsidR="00B436EA" w:rsidRPr="00400E07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00E07">
              <w:rPr>
                <w:sz w:val="20"/>
              </w:rPr>
              <w:t xml:space="preserve">A strong thesis that answers the </w:t>
            </w:r>
            <w:r>
              <w:rPr>
                <w:sz w:val="20"/>
              </w:rPr>
              <w:t xml:space="preserve">prompt’s </w:t>
            </w:r>
            <w:r w:rsidRPr="00400E07">
              <w:rPr>
                <w:sz w:val="20"/>
              </w:rPr>
              <w:t xml:space="preserve">question and </w:t>
            </w:r>
            <w:r>
              <w:rPr>
                <w:sz w:val="20"/>
              </w:rPr>
              <w:t>demonstrates</w:t>
            </w:r>
            <w:r w:rsidRPr="00400E07">
              <w:rPr>
                <w:sz w:val="20"/>
              </w:rPr>
              <w:t xml:space="preserve"> original analytic thoughts about the topic</w:t>
            </w:r>
          </w:p>
          <w:p w14:paraId="328B0DB9" w14:textId="77777777" w:rsidR="00B436EA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91ABA">
              <w:rPr>
                <w:sz w:val="20"/>
              </w:rPr>
              <w:t xml:space="preserve">Body paragraphs that further the argument using evidence drawn from the provided materials. </w:t>
            </w:r>
          </w:p>
          <w:p w14:paraId="1B9A398B" w14:textId="77777777" w:rsidR="00B436EA" w:rsidRPr="00491ABA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91ABA">
              <w:rPr>
                <w:sz w:val="20"/>
              </w:rPr>
              <w:t>A clear structure, with an effective introduction and conclusion, that shows logical transition from one paragraph to the next one.</w:t>
            </w:r>
          </w:p>
          <w:p w14:paraId="069E39FB" w14:textId="77777777" w:rsidR="00B436EA" w:rsidRPr="00400E07" w:rsidRDefault="00B436EA" w:rsidP="00B436EA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An understanding of the historical context provided in the course readings, discussions, online activities, and lectures.</w:t>
            </w:r>
          </w:p>
          <w:p w14:paraId="7F22F34C" w14:textId="77777777" w:rsidR="00B436EA" w:rsidRPr="00400E07" w:rsidRDefault="00B436EA" w:rsidP="00F76D53">
            <w:pPr>
              <w:rPr>
                <w:sz w:val="20"/>
              </w:rPr>
            </w:pPr>
          </w:p>
          <w:p w14:paraId="7ADCB5BF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Minimum Criteria for Success:</w:t>
            </w:r>
          </w:p>
          <w:p w14:paraId="00356C6F" w14:textId="77777777" w:rsidR="00B436EA" w:rsidRPr="00400E07" w:rsidRDefault="00B436EA" w:rsidP="00F76D53">
            <w:pPr>
              <w:ind w:left="430"/>
              <w:rPr>
                <w:sz w:val="20"/>
              </w:rPr>
            </w:pPr>
            <w:r w:rsidRPr="00400E07">
              <w:rPr>
                <w:sz w:val="20"/>
              </w:rPr>
              <w:t>A minimum grade of C on both papers.</w:t>
            </w:r>
          </w:p>
          <w:p w14:paraId="1C8D7E2C" w14:textId="77777777" w:rsidR="00B436EA" w:rsidRPr="00400E07" w:rsidRDefault="00B436EA" w:rsidP="00F76D53">
            <w:pPr>
              <w:rPr>
                <w:sz w:val="20"/>
              </w:rPr>
            </w:pPr>
            <w:r w:rsidRPr="00400E07">
              <w:rPr>
                <w:sz w:val="20"/>
              </w:rPr>
              <w:t>Sample:</w:t>
            </w:r>
          </w:p>
          <w:p w14:paraId="7B2E1907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  <w:r w:rsidRPr="00400E07">
              <w:rPr>
                <w:sz w:val="22"/>
              </w:rPr>
              <w:t>All students will be assessed</w:t>
            </w:r>
          </w:p>
        </w:tc>
        <w:tc>
          <w:tcPr>
            <w:tcW w:w="1980" w:type="dxa"/>
            <w:vMerge w:val="restart"/>
          </w:tcPr>
          <w:p w14:paraId="32830EDD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8DE0EB9" w14:textId="77777777" w:rsidR="00B436EA" w:rsidRPr="003D281E" w:rsidRDefault="00B436EA" w:rsidP="00F76D53">
            <w:pPr>
              <w:rPr>
                <w:sz w:val="22"/>
              </w:rPr>
            </w:pPr>
          </w:p>
          <w:p w14:paraId="29E7B244" w14:textId="77777777" w:rsidR="00B436EA" w:rsidRPr="003D281E" w:rsidRDefault="00B436EA" w:rsidP="00F76D53">
            <w:pPr>
              <w:rPr>
                <w:sz w:val="22"/>
              </w:rPr>
            </w:pPr>
          </w:p>
          <w:p w14:paraId="38AE9320" w14:textId="77777777" w:rsidR="00B436EA" w:rsidRPr="003D281E" w:rsidRDefault="00B436EA" w:rsidP="00F76D53">
            <w:pPr>
              <w:rPr>
                <w:sz w:val="22"/>
              </w:rPr>
            </w:pPr>
          </w:p>
          <w:p w14:paraId="1C4F03DA" w14:textId="77777777" w:rsidR="00B436EA" w:rsidRPr="003D281E" w:rsidRDefault="00B436EA" w:rsidP="00F76D53">
            <w:pPr>
              <w:rPr>
                <w:sz w:val="22"/>
              </w:rPr>
            </w:pPr>
          </w:p>
          <w:p w14:paraId="1E5371C7" w14:textId="77777777" w:rsidR="00B436EA" w:rsidRPr="003D281E" w:rsidRDefault="00B436EA" w:rsidP="00F76D53">
            <w:pPr>
              <w:rPr>
                <w:sz w:val="22"/>
              </w:rPr>
            </w:pPr>
          </w:p>
          <w:p w14:paraId="02409FE3" w14:textId="77777777" w:rsidR="00B436EA" w:rsidRPr="003D281E" w:rsidRDefault="00B436EA" w:rsidP="00F76D53">
            <w:pPr>
              <w:rPr>
                <w:sz w:val="22"/>
              </w:rPr>
            </w:pPr>
          </w:p>
          <w:p w14:paraId="04426A9C" w14:textId="77777777" w:rsidR="00B436EA" w:rsidRPr="003D281E" w:rsidRDefault="00B436EA" w:rsidP="00F76D53">
            <w:pPr>
              <w:rPr>
                <w:sz w:val="22"/>
              </w:rPr>
            </w:pPr>
          </w:p>
          <w:p w14:paraId="03009D6C" w14:textId="77777777" w:rsidR="00B436EA" w:rsidRPr="003D281E" w:rsidRDefault="00B436EA" w:rsidP="00F76D53">
            <w:pPr>
              <w:rPr>
                <w:sz w:val="22"/>
              </w:rPr>
            </w:pPr>
          </w:p>
          <w:p w14:paraId="49A3EBED" w14:textId="77777777" w:rsidR="00B436EA" w:rsidRPr="003D281E" w:rsidRDefault="00B436EA" w:rsidP="00F76D53">
            <w:pPr>
              <w:rPr>
                <w:sz w:val="22"/>
              </w:rPr>
            </w:pPr>
          </w:p>
          <w:p w14:paraId="309EBA6C" w14:textId="77777777" w:rsidR="00B436EA" w:rsidRPr="003D281E" w:rsidRDefault="00B436EA" w:rsidP="00F76D53">
            <w:pPr>
              <w:rPr>
                <w:sz w:val="22"/>
              </w:rPr>
            </w:pPr>
          </w:p>
          <w:p w14:paraId="54628438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5E9BC321" w14:textId="77777777" w:rsidTr="00F76D53">
        <w:trPr>
          <w:trHeight w:val="260"/>
        </w:trPr>
        <w:tc>
          <w:tcPr>
            <w:tcW w:w="2790" w:type="dxa"/>
          </w:tcPr>
          <w:p w14:paraId="14062D24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460" w:type="dxa"/>
            <w:vMerge/>
          </w:tcPr>
          <w:p w14:paraId="4BFE8D21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14:paraId="7F78F6AA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6BD60827" w14:textId="77777777" w:rsidTr="00F76D53">
        <w:trPr>
          <w:trHeight w:val="2393"/>
        </w:trPr>
        <w:tc>
          <w:tcPr>
            <w:tcW w:w="2790" w:type="dxa"/>
          </w:tcPr>
          <w:p w14:paraId="1899AE12" w14:textId="3BB238F6" w:rsidR="00B436EA" w:rsidRPr="00D419F3" w:rsidRDefault="00B436EA" w:rsidP="00F76D5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D419F3">
              <w:rPr>
                <w:rFonts w:cs="Arial"/>
                <w:sz w:val="20"/>
                <w:szCs w:val="20"/>
              </w:rPr>
              <w:t xml:space="preserve">Students will be able to construct evidence-based arguments demonstrating </w:t>
            </w:r>
            <w:r w:rsidRPr="00D419F3">
              <w:rPr>
                <w:rFonts w:cs="Arial"/>
                <w:b/>
                <w:sz w:val="20"/>
                <w:szCs w:val="20"/>
              </w:rPr>
              <w:t>both</w:t>
            </w:r>
            <w:r w:rsidRPr="00D419F3">
              <w:rPr>
                <w:rFonts w:cs="Arial"/>
                <w:sz w:val="20"/>
                <w:szCs w:val="20"/>
              </w:rPr>
              <w:t xml:space="preserve"> </w:t>
            </w:r>
            <w:r w:rsidR="00D419F3" w:rsidRPr="00D419F3">
              <w:rPr>
                <w:rFonts w:cs="Arial"/>
                <w:sz w:val="20"/>
                <w:szCs w:val="20"/>
              </w:rPr>
              <w:t xml:space="preserve">that global connections occurred on the Pacific world since the sixteenth century </w:t>
            </w:r>
            <w:r w:rsidR="00D419F3" w:rsidRPr="00D419F3">
              <w:rPr>
                <w:rFonts w:cs="Arial"/>
                <w:b/>
                <w:sz w:val="20"/>
                <w:szCs w:val="20"/>
              </w:rPr>
              <w:t>and</w:t>
            </w:r>
            <w:r w:rsidR="00D419F3" w:rsidRPr="00D419F3">
              <w:rPr>
                <w:rFonts w:cs="Arial"/>
                <w:sz w:val="20"/>
                <w:szCs w:val="20"/>
              </w:rPr>
              <w:t xml:space="preserve"> how these interactions shaped politics and people’s lives in Asia, the Americas, and beyond.</w:t>
            </w:r>
          </w:p>
        </w:tc>
        <w:tc>
          <w:tcPr>
            <w:tcW w:w="8460" w:type="dxa"/>
            <w:vMerge/>
          </w:tcPr>
          <w:p w14:paraId="5AB79D4A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980" w:type="dxa"/>
            <w:vMerge/>
          </w:tcPr>
          <w:p w14:paraId="5119F4ED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632E974F" w14:textId="77777777" w:rsidTr="00F76D53">
        <w:trPr>
          <w:trHeight w:val="260"/>
        </w:trPr>
        <w:tc>
          <w:tcPr>
            <w:tcW w:w="13230" w:type="dxa"/>
            <w:gridSpan w:val="3"/>
          </w:tcPr>
          <w:p w14:paraId="0D03BB21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0F3FB128" w14:textId="77777777" w:rsidTr="00F76D53">
        <w:trPr>
          <w:trHeight w:val="1664"/>
        </w:trPr>
        <w:tc>
          <w:tcPr>
            <w:tcW w:w="13230" w:type="dxa"/>
            <w:gridSpan w:val="3"/>
          </w:tcPr>
          <w:p w14:paraId="0D6FA5FE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97C01A2" w14:textId="77777777" w:rsidR="00B436EA" w:rsidRDefault="00B436EA" w:rsidP="00B436EA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010"/>
        <w:gridCol w:w="2054"/>
      </w:tblGrid>
      <w:tr w:rsidR="00B436EA" w:rsidRPr="00F632F6" w14:paraId="4B66BF3F" w14:textId="77777777" w:rsidTr="00F76D53">
        <w:trPr>
          <w:trHeight w:val="305"/>
          <w:tblHeader/>
        </w:trPr>
        <w:tc>
          <w:tcPr>
            <w:tcW w:w="2767" w:type="dxa"/>
          </w:tcPr>
          <w:p w14:paraId="45575CDF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010" w:type="dxa"/>
          </w:tcPr>
          <w:p w14:paraId="4392B99E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054" w:type="dxa"/>
          </w:tcPr>
          <w:p w14:paraId="6EE7BDBC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6F1BC7C8" w14:textId="77777777" w:rsidTr="00F76D53">
        <w:trPr>
          <w:trHeight w:val="1140"/>
        </w:trPr>
        <w:tc>
          <w:tcPr>
            <w:tcW w:w="2767" w:type="dxa"/>
          </w:tcPr>
          <w:p w14:paraId="3FC3A7BB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  <w:p w14:paraId="50069496" w14:textId="1F368C43" w:rsidR="00B436EA" w:rsidRPr="00E06F48" w:rsidRDefault="00B436EA" w:rsidP="00F76D5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Students will be able to examine multiple </w:t>
            </w:r>
            <w:r w:rsidR="00DA10EA">
              <w:rPr>
                <w:sz w:val="20"/>
              </w:rPr>
              <w:t xml:space="preserve">experiences of locals and newcomers in the Spanish Pacific, </w:t>
            </w:r>
            <w:r>
              <w:rPr>
                <w:sz w:val="20"/>
              </w:rPr>
              <w:t>across</w:t>
            </w:r>
            <w:r w:rsidRPr="00E06F48">
              <w:rPr>
                <w:sz w:val="20"/>
              </w:rPr>
              <w:t xml:space="preserve"> local, </w:t>
            </w:r>
            <w:r w:rsidR="00DA10EA">
              <w:rPr>
                <w:sz w:val="20"/>
              </w:rPr>
              <w:t>regional</w:t>
            </w:r>
            <w:r w:rsidRPr="00E06F48">
              <w:rPr>
                <w:sz w:val="20"/>
              </w:rPr>
              <w:t xml:space="preserve">, </w:t>
            </w:r>
            <w:r w:rsidR="00DA10EA">
              <w:rPr>
                <w:sz w:val="20"/>
              </w:rPr>
              <w:t xml:space="preserve">and global </w:t>
            </w:r>
            <w:r w:rsidRPr="00E06F48">
              <w:rPr>
                <w:sz w:val="20"/>
              </w:rPr>
              <w:t xml:space="preserve">intercultural </w:t>
            </w:r>
            <w:r w:rsidR="00DA10EA">
              <w:rPr>
                <w:sz w:val="20"/>
              </w:rPr>
              <w:t>exchanges</w:t>
            </w:r>
            <w:r>
              <w:rPr>
                <w:sz w:val="20"/>
              </w:rPr>
              <w:t>.</w:t>
            </w:r>
          </w:p>
          <w:p w14:paraId="277F2EA9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010" w:type="dxa"/>
            <w:vMerge w:val="restart"/>
          </w:tcPr>
          <w:p w14:paraId="552DE003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Assessment Activity/Artifact:</w:t>
            </w:r>
          </w:p>
          <w:p w14:paraId="5BF7AC07" w14:textId="4A167285" w:rsidR="00B436EA" w:rsidRPr="00CB18E6" w:rsidRDefault="00B436EA" w:rsidP="00F76D53">
            <w:pPr>
              <w:ind w:firstLine="43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 xml:space="preserve">comparatively </w:t>
            </w:r>
            <w:r w:rsidRPr="00CB18E6">
              <w:rPr>
                <w:sz w:val="20"/>
                <w:szCs w:val="20"/>
              </w:rPr>
              <w:t xml:space="preserve">analyze </w:t>
            </w:r>
            <w:r>
              <w:rPr>
                <w:sz w:val="20"/>
                <w:szCs w:val="20"/>
              </w:rPr>
              <w:t xml:space="preserve">different </w:t>
            </w:r>
            <w:r w:rsidR="0088528E">
              <w:rPr>
                <w:sz w:val="20"/>
                <w:szCs w:val="20"/>
              </w:rPr>
              <w:t>primary sources</w:t>
            </w:r>
            <w:r w:rsidR="008C4F6C">
              <w:rPr>
                <w:sz w:val="20"/>
                <w:szCs w:val="20"/>
              </w:rPr>
              <w:t xml:space="preserve"> about authorities and colonial subjects that directly participated in the material and cultural exchanges in the Spanish Pacific</w:t>
            </w:r>
            <w:r>
              <w:rPr>
                <w:sz w:val="20"/>
                <w:szCs w:val="20"/>
              </w:rPr>
              <w:t>.</w:t>
            </w:r>
            <w:r w:rsidRPr="00CB18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 each module</w:t>
            </w:r>
            <w:r w:rsidRPr="00CB18E6">
              <w:rPr>
                <w:sz w:val="20"/>
                <w:szCs w:val="20"/>
              </w:rPr>
              <w:t xml:space="preserve">, </w:t>
            </w:r>
            <w:r w:rsidR="008C4F6C">
              <w:rPr>
                <w:sz w:val="20"/>
                <w:szCs w:val="20"/>
              </w:rPr>
              <w:t>students</w:t>
            </w:r>
            <w:r w:rsidRPr="00CB18E6">
              <w:rPr>
                <w:sz w:val="20"/>
                <w:szCs w:val="20"/>
              </w:rPr>
              <w:t xml:space="preserve"> will </w:t>
            </w:r>
            <w:r>
              <w:rPr>
                <w:sz w:val="20"/>
                <w:szCs w:val="20"/>
              </w:rPr>
              <w:t xml:space="preserve">assess the different </w:t>
            </w:r>
            <w:r w:rsidR="008C4F6C">
              <w:rPr>
                <w:sz w:val="20"/>
                <w:szCs w:val="20"/>
              </w:rPr>
              <w:t>experiences of these individuals w</w:t>
            </w:r>
            <w:r w:rsidR="00DA10EA">
              <w:rPr>
                <w:sz w:val="20"/>
                <w:szCs w:val="20"/>
              </w:rPr>
              <w:t xml:space="preserve">ithin such exchanges that occurred in the </w:t>
            </w:r>
            <w:r w:rsidRPr="00CB18E6">
              <w:rPr>
                <w:sz w:val="20"/>
                <w:szCs w:val="20"/>
              </w:rPr>
              <w:t xml:space="preserve">local, regional, and </w:t>
            </w:r>
            <w:r w:rsidR="00DA10EA">
              <w:rPr>
                <w:sz w:val="20"/>
                <w:szCs w:val="20"/>
              </w:rPr>
              <w:t xml:space="preserve">even </w:t>
            </w:r>
            <w:r w:rsidRPr="00CB18E6">
              <w:rPr>
                <w:sz w:val="20"/>
                <w:szCs w:val="20"/>
              </w:rPr>
              <w:t>global</w:t>
            </w:r>
            <w:r w:rsidR="00DA10EA">
              <w:rPr>
                <w:sz w:val="20"/>
                <w:szCs w:val="20"/>
              </w:rPr>
              <w:t xml:space="preserve"> level</w:t>
            </w:r>
            <w:r w:rsidRPr="00CB18E6">
              <w:rPr>
                <w:sz w:val="20"/>
                <w:szCs w:val="20"/>
              </w:rPr>
              <w:t>.</w:t>
            </w:r>
          </w:p>
          <w:p w14:paraId="478F79AF" w14:textId="77777777" w:rsidR="00B436EA" w:rsidRPr="00CB18E6" w:rsidRDefault="00B436EA" w:rsidP="00F76D53">
            <w:pPr>
              <w:rPr>
                <w:sz w:val="20"/>
                <w:szCs w:val="20"/>
              </w:rPr>
            </w:pPr>
          </w:p>
          <w:p w14:paraId="663C130D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Evaluation Process:</w:t>
            </w:r>
          </w:p>
          <w:p w14:paraId="29B3C9D1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These analytical comments will be assessed according to the following criteria:</w:t>
            </w:r>
          </w:p>
          <w:p w14:paraId="71522692" w14:textId="0B108C81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The </w:t>
            </w:r>
            <w:r w:rsidR="0088528E">
              <w:rPr>
                <w:sz w:val="20"/>
                <w:szCs w:val="20"/>
              </w:rPr>
              <w:t>understanding</w:t>
            </w:r>
            <w:r w:rsidRPr="00CB18E6">
              <w:rPr>
                <w:sz w:val="20"/>
                <w:szCs w:val="20"/>
              </w:rPr>
              <w:t xml:space="preserve"> of the historical context where </w:t>
            </w:r>
            <w:r w:rsidR="00DA10EA">
              <w:rPr>
                <w:sz w:val="20"/>
                <w:szCs w:val="20"/>
              </w:rPr>
              <w:t>material and cultural exchanges in the Spanish Pacific</w:t>
            </w:r>
            <w:r w:rsidR="0088528E">
              <w:rPr>
                <w:sz w:val="20"/>
                <w:szCs w:val="20"/>
              </w:rPr>
              <w:t xml:space="preserve"> occurred</w:t>
            </w:r>
            <w:r w:rsidRPr="00CB18E6">
              <w:rPr>
                <w:sz w:val="20"/>
                <w:szCs w:val="20"/>
              </w:rPr>
              <w:t xml:space="preserve">. </w:t>
            </w:r>
          </w:p>
          <w:p w14:paraId="779EB276" w14:textId="72EBFF86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An evaluation of the </w:t>
            </w:r>
            <w:r>
              <w:rPr>
                <w:sz w:val="20"/>
                <w:szCs w:val="20"/>
              </w:rPr>
              <w:t xml:space="preserve">different contemporary </w:t>
            </w:r>
            <w:r w:rsidR="00DA10EA">
              <w:rPr>
                <w:sz w:val="20"/>
                <w:szCs w:val="20"/>
              </w:rPr>
              <w:t xml:space="preserve">perceptions or </w:t>
            </w:r>
            <w:r>
              <w:rPr>
                <w:sz w:val="20"/>
                <w:szCs w:val="20"/>
              </w:rPr>
              <w:t xml:space="preserve">reactions to these </w:t>
            </w:r>
            <w:r w:rsidR="00DA10EA">
              <w:rPr>
                <w:sz w:val="20"/>
                <w:szCs w:val="20"/>
              </w:rPr>
              <w:t>exchanges</w:t>
            </w:r>
            <w:r w:rsidRPr="00CB18E6">
              <w:rPr>
                <w:sz w:val="20"/>
                <w:szCs w:val="20"/>
              </w:rPr>
              <w:t xml:space="preserve">. </w:t>
            </w:r>
          </w:p>
          <w:p w14:paraId="1E3149C9" w14:textId="100A91D1" w:rsidR="00B436EA" w:rsidRPr="00CB18E6" w:rsidRDefault="00B436EA" w:rsidP="00B436EA">
            <w:pPr>
              <w:pStyle w:val="ListParagraph"/>
              <w:numPr>
                <w:ilvl w:val="0"/>
                <w:numId w:val="2"/>
              </w:numPr>
              <w:ind w:left="520" w:hanging="25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 xml:space="preserve">An analytic reflection on how </w:t>
            </w:r>
            <w:r w:rsidR="00DA10EA">
              <w:rPr>
                <w:sz w:val="20"/>
                <w:szCs w:val="20"/>
              </w:rPr>
              <w:t xml:space="preserve">these experiences, which occurred in the </w:t>
            </w:r>
            <w:r w:rsidRPr="00CB18E6">
              <w:rPr>
                <w:sz w:val="20"/>
                <w:szCs w:val="20"/>
              </w:rPr>
              <w:t xml:space="preserve">local, regional, or global </w:t>
            </w:r>
            <w:r w:rsidR="00DA10EA">
              <w:rPr>
                <w:sz w:val="20"/>
                <w:szCs w:val="20"/>
              </w:rPr>
              <w:t>level, reveal the larger process of early globalization.</w:t>
            </w:r>
          </w:p>
          <w:p w14:paraId="63E873AB" w14:textId="77777777" w:rsidR="00B436EA" w:rsidRPr="00CB18E6" w:rsidRDefault="00B436EA" w:rsidP="00F76D53">
            <w:pPr>
              <w:rPr>
                <w:sz w:val="20"/>
                <w:szCs w:val="20"/>
              </w:rPr>
            </w:pPr>
          </w:p>
          <w:p w14:paraId="67AA442E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Minimum Criteria for Success:</w:t>
            </w:r>
          </w:p>
          <w:p w14:paraId="0A06897B" w14:textId="77777777" w:rsidR="00B436EA" w:rsidRPr="00CB18E6" w:rsidRDefault="00B436EA" w:rsidP="00F76D53">
            <w:pPr>
              <w:ind w:left="430"/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A minimum grade of C on the assignment.</w:t>
            </w:r>
          </w:p>
          <w:p w14:paraId="37D4F552" w14:textId="77777777" w:rsidR="00B436EA" w:rsidRDefault="00B436EA" w:rsidP="00F76D53">
            <w:pPr>
              <w:rPr>
                <w:sz w:val="20"/>
                <w:szCs w:val="20"/>
              </w:rPr>
            </w:pPr>
          </w:p>
          <w:p w14:paraId="7FD4291F" w14:textId="77777777" w:rsidR="00B436EA" w:rsidRPr="00CB18E6" w:rsidRDefault="00B436EA" w:rsidP="00F76D53">
            <w:pPr>
              <w:rPr>
                <w:sz w:val="20"/>
                <w:szCs w:val="20"/>
              </w:rPr>
            </w:pPr>
            <w:r w:rsidRPr="00CB18E6">
              <w:rPr>
                <w:sz w:val="20"/>
                <w:szCs w:val="20"/>
              </w:rPr>
              <w:t>Sample:</w:t>
            </w:r>
          </w:p>
          <w:p w14:paraId="093A7E67" w14:textId="77777777" w:rsidR="00B436EA" w:rsidRDefault="00B436EA" w:rsidP="00F76D53">
            <w:pPr>
              <w:rPr>
                <w:i/>
                <w:color w:val="0070C0"/>
                <w:sz w:val="22"/>
              </w:rPr>
            </w:pPr>
            <w:r w:rsidRPr="00CB18E6">
              <w:rPr>
                <w:sz w:val="20"/>
                <w:szCs w:val="20"/>
              </w:rPr>
              <w:t>All students will be assessed.</w:t>
            </w:r>
          </w:p>
          <w:p w14:paraId="240FFDE0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054" w:type="dxa"/>
            <w:vMerge w:val="restart"/>
          </w:tcPr>
          <w:p w14:paraId="148B46A8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3E224B10" w14:textId="77777777" w:rsidR="00B436EA" w:rsidRPr="003D281E" w:rsidRDefault="00B436EA" w:rsidP="00F76D53">
            <w:pPr>
              <w:rPr>
                <w:sz w:val="22"/>
              </w:rPr>
            </w:pPr>
          </w:p>
          <w:p w14:paraId="44A668D9" w14:textId="77777777" w:rsidR="00B436EA" w:rsidRPr="003D281E" w:rsidRDefault="00B436EA" w:rsidP="00F76D53">
            <w:pPr>
              <w:rPr>
                <w:sz w:val="22"/>
              </w:rPr>
            </w:pPr>
          </w:p>
          <w:p w14:paraId="3F1123F9" w14:textId="77777777" w:rsidR="00B436EA" w:rsidRPr="003D281E" w:rsidRDefault="00B436EA" w:rsidP="00F76D53">
            <w:pPr>
              <w:rPr>
                <w:sz w:val="22"/>
              </w:rPr>
            </w:pPr>
          </w:p>
          <w:p w14:paraId="0F9DEAD1" w14:textId="77777777" w:rsidR="00B436EA" w:rsidRPr="003D281E" w:rsidRDefault="00B436EA" w:rsidP="00F76D53">
            <w:pPr>
              <w:rPr>
                <w:sz w:val="22"/>
              </w:rPr>
            </w:pPr>
          </w:p>
          <w:p w14:paraId="384601DC" w14:textId="77777777" w:rsidR="00B436EA" w:rsidRPr="003D281E" w:rsidRDefault="00B436EA" w:rsidP="00F76D53">
            <w:pPr>
              <w:rPr>
                <w:sz w:val="22"/>
              </w:rPr>
            </w:pPr>
          </w:p>
          <w:p w14:paraId="70C215A8" w14:textId="77777777" w:rsidR="00B436EA" w:rsidRPr="003D281E" w:rsidRDefault="00B436EA" w:rsidP="00F76D53">
            <w:pPr>
              <w:rPr>
                <w:sz w:val="22"/>
              </w:rPr>
            </w:pPr>
          </w:p>
          <w:p w14:paraId="60C5CBD6" w14:textId="77777777" w:rsidR="00B436EA" w:rsidRPr="003D281E" w:rsidRDefault="00B436EA" w:rsidP="00F76D53">
            <w:pPr>
              <w:rPr>
                <w:sz w:val="22"/>
              </w:rPr>
            </w:pPr>
          </w:p>
          <w:p w14:paraId="1F29A9AF" w14:textId="77777777" w:rsidR="00B436EA" w:rsidRPr="003D281E" w:rsidRDefault="00B436EA" w:rsidP="00F76D53">
            <w:pPr>
              <w:rPr>
                <w:sz w:val="22"/>
              </w:rPr>
            </w:pPr>
          </w:p>
          <w:p w14:paraId="1C5F695B" w14:textId="77777777" w:rsidR="00B436EA" w:rsidRPr="003D281E" w:rsidRDefault="00B436EA" w:rsidP="00F76D53">
            <w:pPr>
              <w:rPr>
                <w:sz w:val="22"/>
              </w:rPr>
            </w:pPr>
          </w:p>
          <w:p w14:paraId="1359862D" w14:textId="77777777" w:rsidR="00B436EA" w:rsidRPr="003D281E" w:rsidRDefault="00B436EA" w:rsidP="00F76D53">
            <w:pPr>
              <w:rPr>
                <w:sz w:val="22"/>
              </w:rPr>
            </w:pPr>
          </w:p>
          <w:p w14:paraId="6C7D3613" w14:textId="77777777" w:rsidR="00B436EA" w:rsidRPr="003D281E" w:rsidRDefault="00B436EA" w:rsidP="00F76D53">
            <w:pPr>
              <w:rPr>
                <w:sz w:val="22"/>
              </w:rPr>
            </w:pPr>
          </w:p>
          <w:p w14:paraId="1A906CEB" w14:textId="77777777" w:rsidR="00B436EA" w:rsidRPr="003D281E" w:rsidRDefault="00B436EA" w:rsidP="00F76D53">
            <w:pPr>
              <w:rPr>
                <w:sz w:val="22"/>
              </w:rPr>
            </w:pPr>
          </w:p>
          <w:p w14:paraId="31AF2A25" w14:textId="77777777" w:rsidR="00B436EA" w:rsidRPr="003D281E" w:rsidRDefault="00B436EA" w:rsidP="00F76D53">
            <w:pPr>
              <w:rPr>
                <w:sz w:val="22"/>
              </w:rPr>
            </w:pPr>
          </w:p>
          <w:p w14:paraId="27F09ED1" w14:textId="77777777" w:rsidR="00B436EA" w:rsidRPr="003D281E" w:rsidRDefault="00B436EA" w:rsidP="00F76D53">
            <w:pPr>
              <w:rPr>
                <w:sz w:val="22"/>
              </w:rPr>
            </w:pPr>
          </w:p>
          <w:p w14:paraId="55097571" w14:textId="77777777" w:rsidR="00B436EA" w:rsidRPr="003D281E" w:rsidRDefault="00B436EA" w:rsidP="00F76D53">
            <w:pPr>
              <w:rPr>
                <w:sz w:val="22"/>
              </w:rPr>
            </w:pPr>
          </w:p>
          <w:p w14:paraId="66EB4EC2" w14:textId="77777777" w:rsidR="00B436EA" w:rsidRPr="003D281E" w:rsidRDefault="00B436EA" w:rsidP="00F76D53">
            <w:pPr>
              <w:rPr>
                <w:sz w:val="22"/>
              </w:rPr>
            </w:pPr>
          </w:p>
          <w:p w14:paraId="6C395917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2D6E53D9" w14:textId="77777777" w:rsidTr="00F76D53">
        <w:trPr>
          <w:trHeight w:val="260"/>
        </w:trPr>
        <w:tc>
          <w:tcPr>
            <w:tcW w:w="2767" w:type="dxa"/>
          </w:tcPr>
          <w:p w14:paraId="17CC2A63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010" w:type="dxa"/>
            <w:vMerge/>
          </w:tcPr>
          <w:p w14:paraId="0E82CCA5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2054" w:type="dxa"/>
            <w:vMerge/>
          </w:tcPr>
          <w:p w14:paraId="4AF17DA7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4AE8989F" w14:textId="77777777" w:rsidTr="00F76D53">
        <w:trPr>
          <w:trHeight w:val="2393"/>
        </w:trPr>
        <w:tc>
          <w:tcPr>
            <w:tcW w:w="2767" w:type="dxa"/>
          </w:tcPr>
          <w:p w14:paraId="7C93800C" w14:textId="6588C4A3" w:rsidR="00B436EA" w:rsidRPr="008C4F6C" w:rsidRDefault="00B436EA" w:rsidP="00F76D5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8C4F6C">
              <w:rPr>
                <w:rFonts w:cs="Arial"/>
                <w:sz w:val="20"/>
                <w:szCs w:val="20"/>
              </w:rPr>
              <w:t xml:space="preserve">Students will analyze primary sources to </w:t>
            </w:r>
            <w:r w:rsidR="008C4F6C" w:rsidRPr="008C4F6C">
              <w:rPr>
                <w:rFonts w:cs="Arial"/>
                <w:sz w:val="20"/>
                <w:szCs w:val="20"/>
              </w:rPr>
              <w:t>identify intercolonial relations within the Spanish Pacific</w:t>
            </w:r>
            <w:r w:rsidR="008C4F6C">
              <w:rPr>
                <w:rFonts w:cs="Arial"/>
                <w:sz w:val="20"/>
                <w:szCs w:val="20"/>
              </w:rPr>
              <w:t xml:space="preserve"> </w:t>
            </w:r>
            <w:r w:rsidR="008C4F6C" w:rsidRPr="008C4F6C">
              <w:rPr>
                <w:rFonts w:cs="Arial"/>
                <w:b/>
                <w:bCs/>
                <w:sz w:val="20"/>
                <w:szCs w:val="20"/>
              </w:rPr>
              <w:t>AND</w:t>
            </w:r>
            <w:r w:rsidR="008C4F6C" w:rsidRPr="008C4F6C">
              <w:rPr>
                <w:rFonts w:cs="Arial"/>
                <w:sz w:val="20"/>
                <w:szCs w:val="20"/>
              </w:rPr>
              <w:t xml:space="preserve"> </w:t>
            </w:r>
            <w:r w:rsidR="008C4F6C">
              <w:rPr>
                <w:rFonts w:cs="Arial"/>
                <w:sz w:val="20"/>
                <w:szCs w:val="20"/>
              </w:rPr>
              <w:t xml:space="preserve">to </w:t>
            </w:r>
            <w:r w:rsidR="008C4F6C" w:rsidRPr="008C4F6C">
              <w:rPr>
                <w:rFonts w:cs="Arial"/>
                <w:sz w:val="20"/>
                <w:szCs w:val="20"/>
              </w:rPr>
              <w:t xml:space="preserve">understand </w:t>
            </w:r>
            <w:r w:rsidR="008C4F6C">
              <w:rPr>
                <w:rFonts w:cs="Arial"/>
                <w:sz w:val="20"/>
                <w:szCs w:val="20"/>
              </w:rPr>
              <w:t>how Pacific peoples’</w:t>
            </w:r>
            <w:r w:rsidR="008C4F6C" w:rsidRPr="008C4F6C">
              <w:rPr>
                <w:rFonts w:cs="Arial"/>
                <w:sz w:val="20"/>
                <w:szCs w:val="20"/>
              </w:rPr>
              <w:t xml:space="preserve"> experiences varied across local, regional, and even global scales during early modern times</w:t>
            </w:r>
          </w:p>
        </w:tc>
        <w:tc>
          <w:tcPr>
            <w:tcW w:w="8010" w:type="dxa"/>
            <w:vMerge/>
          </w:tcPr>
          <w:p w14:paraId="41A452DB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2054" w:type="dxa"/>
            <w:vMerge/>
          </w:tcPr>
          <w:p w14:paraId="580B7732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5C57BB75" w14:textId="77777777" w:rsidTr="00F76D53">
        <w:trPr>
          <w:trHeight w:val="260"/>
        </w:trPr>
        <w:tc>
          <w:tcPr>
            <w:tcW w:w="12831" w:type="dxa"/>
            <w:gridSpan w:val="3"/>
          </w:tcPr>
          <w:p w14:paraId="5833F556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4518D230" w14:textId="77777777" w:rsidTr="00F76D53">
        <w:trPr>
          <w:trHeight w:val="1664"/>
        </w:trPr>
        <w:tc>
          <w:tcPr>
            <w:tcW w:w="12831" w:type="dxa"/>
            <w:gridSpan w:val="3"/>
          </w:tcPr>
          <w:p w14:paraId="2CBF61D4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644462E9" w14:textId="77777777" w:rsidR="00B436EA" w:rsidRDefault="00B436EA" w:rsidP="00B436EA">
      <w:pPr>
        <w:rPr>
          <w:rFonts w:ascii="Times New Roman" w:hAnsi="Times New Roman"/>
          <w:b/>
        </w:rPr>
      </w:pPr>
    </w:p>
    <w:p w14:paraId="2E937EEE" w14:textId="77777777" w:rsidR="00B436EA" w:rsidRDefault="00B436EA" w:rsidP="00B436EA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8190"/>
        <w:gridCol w:w="1874"/>
      </w:tblGrid>
      <w:tr w:rsidR="00B436EA" w:rsidRPr="00F632F6" w14:paraId="553A5C73" w14:textId="77777777" w:rsidTr="00F76D53">
        <w:trPr>
          <w:trHeight w:val="305"/>
          <w:tblHeader/>
        </w:trPr>
        <w:tc>
          <w:tcPr>
            <w:tcW w:w="2767" w:type="dxa"/>
          </w:tcPr>
          <w:p w14:paraId="6B7934B8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8190" w:type="dxa"/>
          </w:tcPr>
          <w:p w14:paraId="23E862E4" w14:textId="77777777" w:rsidR="00B436EA" w:rsidRPr="003D281E" w:rsidRDefault="00B436EA" w:rsidP="00F76D5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1874" w:type="dxa"/>
          </w:tcPr>
          <w:p w14:paraId="25269BF9" w14:textId="77777777" w:rsidR="00B436EA" w:rsidRPr="003D281E" w:rsidRDefault="00B436EA" w:rsidP="00F76D5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B436EA" w:rsidRPr="00F632F6" w14:paraId="374FE7C3" w14:textId="77777777" w:rsidTr="00F76D53">
        <w:trPr>
          <w:trHeight w:val="1140"/>
        </w:trPr>
        <w:tc>
          <w:tcPr>
            <w:tcW w:w="2767" w:type="dxa"/>
          </w:tcPr>
          <w:p w14:paraId="3AF97C13" w14:textId="77777777" w:rsidR="00B436EA" w:rsidRDefault="00B436EA" w:rsidP="00F76D53">
            <w:pPr>
              <w:rPr>
                <w:b/>
                <w:sz w:val="20"/>
                <w:u w:val="single"/>
              </w:rPr>
            </w:pPr>
          </w:p>
          <w:p w14:paraId="1019A5A5" w14:textId="234E5E79" w:rsidR="00B436EA" w:rsidRPr="003F3DB7" w:rsidRDefault="00B436EA" w:rsidP="00F76D5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Students will </w:t>
            </w:r>
            <w:r w:rsidRPr="00E06F48">
              <w:rPr>
                <w:sz w:val="20"/>
              </w:rPr>
              <w:t xml:space="preserve">engage </w:t>
            </w:r>
            <w:r>
              <w:rPr>
                <w:sz w:val="20"/>
              </w:rPr>
              <w:t xml:space="preserve">with </w:t>
            </w:r>
            <w:r w:rsidR="00DA10EA">
              <w:rPr>
                <w:sz w:val="20"/>
              </w:rPr>
              <w:t xml:space="preserve">the experiences, activities, and practices within the Spanish Pacific that shaped </w:t>
            </w:r>
            <w:r w:rsidR="00DA10EA" w:rsidRPr="00E06F48">
              <w:rPr>
                <w:sz w:val="20"/>
              </w:rPr>
              <w:t xml:space="preserve">local, </w:t>
            </w:r>
            <w:r w:rsidR="00DA10EA">
              <w:rPr>
                <w:sz w:val="20"/>
              </w:rPr>
              <w:t xml:space="preserve">regional, and global settings </w:t>
            </w:r>
            <w:r>
              <w:rPr>
                <w:sz w:val="20"/>
              </w:rPr>
              <w:t xml:space="preserve">in early modern times. </w:t>
            </w:r>
          </w:p>
          <w:p w14:paraId="42F45C05" w14:textId="77777777" w:rsidR="00B436EA" w:rsidRPr="003D281E" w:rsidRDefault="00B436EA" w:rsidP="00F76D5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8190" w:type="dxa"/>
            <w:vMerge w:val="restart"/>
          </w:tcPr>
          <w:p w14:paraId="337B04AF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Assessment Activity/Artifact:</w:t>
            </w:r>
          </w:p>
          <w:p w14:paraId="116F7163" w14:textId="790E5FD8" w:rsidR="00B436EA" w:rsidRDefault="00B436EA" w:rsidP="002E1CBD">
            <w:pPr>
              <w:ind w:firstLine="430"/>
              <w:rPr>
                <w:sz w:val="20"/>
              </w:rPr>
            </w:pPr>
            <w:r>
              <w:rPr>
                <w:sz w:val="20"/>
              </w:rPr>
              <w:t xml:space="preserve">At the end of </w:t>
            </w:r>
            <w:r w:rsidRPr="0020610E">
              <w:rPr>
                <w:sz w:val="20"/>
              </w:rPr>
              <w:t xml:space="preserve">the semester, students </w:t>
            </w:r>
            <w:r>
              <w:rPr>
                <w:sz w:val="20"/>
              </w:rPr>
              <w:t xml:space="preserve">will prepare a final report in groups. They will </w:t>
            </w:r>
            <w:r w:rsidRPr="002E1CBD">
              <w:rPr>
                <w:rFonts w:cs="Arial"/>
                <w:sz w:val="20"/>
                <w:szCs w:val="20"/>
              </w:rPr>
              <w:t xml:space="preserve">examine </w:t>
            </w:r>
            <w:r w:rsidR="002E1CBD" w:rsidRPr="002E1CBD">
              <w:rPr>
                <w:rFonts w:cs="Arial"/>
                <w:sz w:val="20"/>
                <w:szCs w:val="20"/>
              </w:rPr>
              <w:t>a commodity product that shaped the interactions between Asia and the New World.</w:t>
            </w:r>
            <w:r>
              <w:rPr>
                <w:sz w:val="20"/>
              </w:rPr>
              <w:t xml:space="preserve"> First, they will </w:t>
            </w:r>
            <w:r w:rsidR="002E1CBD">
              <w:rPr>
                <w:sz w:val="20"/>
              </w:rPr>
              <w:t>describe why such product became important within the intercolonial relations within the Spanish Pacific</w:t>
            </w:r>
            <w:r>
              <w:rPr>
                <w:sz w:val="20"/>
              </w:rPr>
              <w:t xml:space="preserve">. Second, they will </w:t>
            </w:r>
            <w:r w:rsidR="00EE19C7">
              <w:rPr>
                <w:sz w:val="20"/>
              </w:rPr>
              <w:t xml:space="preserve">examine </w:t>
            </w:r>
            <w:r w:rsidR="002E1CBD">
              <w:rPr>
                <w:sz w:val="20"/>
              </w:rPr>
              <w:t>how such relations expanded beyond the limits of this region to have a global impact</w:t>
            </w:r>
            <w:r>
              <w:rPr>
                <w:sz w:val="20"/>
              </w:rPr>
              <w:t>.</w:t>
            </w:r>
          </w:p>
          <w:p w14:paraId="7B5DA533" w14:textId="2E1AD21E" w:rsidR="00B436EA" w:rsidRPr="0020610E" w:rsidRDefault="00B436EA" w:rsidP="00F76D53">
            <w:pPr>
              <w:ind w:firstLine="430"/>
              <w:rPr>
                <w:sz w:val="20"/>
              </w:rPr>
            </w:pPr>
            <w:r>
              <w:rPr>
                <w:sz w:val="20"/>
              </w:rPr>
              <w:t xml:space="preserve">Using the information of the </w:t>
            </w:r>
            <w:r w:rsidR="00EE19C7">
              <w:rPr>
                <w:sz w:val="20"/>
              </w:rPr>
              <w:t>materials</w:t>
            </w:r>
            <w:r>
              <w:rPr>
                <w:sz w:val="20"/>
              </w:rPr>
              <w:t xml:space="preserve"> they </w:t>
            </w:r>
            <w:r w:rsidR="002E1CBD">
              <w:rPr>
                <w:sz w:val="20"/>
              </w:rPr>
              <w:t xml:space="preserve">previously </w:t>
            </w:r>
            <w:r>
              <w:rPr>
                <w:sz w:val="20"/>
              </w:rPr>
              <w:t xml:space="preserve">read for writing </w:t>
            </w:r>
            <w:r w:rsidR="00EE19C7">
              <w:rPr>
                <w:sz w:val="20"/>
              </w:rPr>
              <w:t>their</w:t>
            </w:r>
            <w:r>
              <w:rPr>
                <w:sz w:val="20"/>
              </w:rPr>
              <w:t xml:space="preserve"> papers</w:t>
            </w:r>
            <w:r w:rsidR="00EE19C7">
              <w:rPr>
                <w:sz w:val="20"/>
              </w:rPr>
              <w:t xml:space="preserve"> and analytical comments</w:t>
            </w:r>
            <w:r>
              <w:rPr>
                <w:sz w:val="20"/>
              </w:rPr>
              <w:t>, students will compile</w:t>
            </w:r>
            <w:r w:rsidRPr="0020610E">
              <w:rPr>
                <w:sz w:val="20"/>
              </w:rPr>
              <w:t xml:space="preserve"> a </w:t>
            </w:r>
            <w:r>
              <w:rPr>
                <w:sz w:val="20"/>
              </w:rPr>
              <w:t xml:space="preserve">2-page report on </w:t>
            </w:r>
            <w:r w:rsidR="002E1CBD">
              <w:rPr>
                <w:sz w:val="20"/>
              </w:rPr>
              <w:t xml:space="preserve">the impact of a specific </w:t>
            </w:r>
            <w:r w:rsidR="002E1CBD">
              <w:rPr>
                <w:b/>
                <w:sz w:val="20"/>
              </w:rPr>
              <w:t xml:space="preserve">commodity </w:t>
            </w:r>
            <w:r w:rsidR="002E1CBD">
              <w:rPr>
                <w:sz w:val="20"/>
              </w:rPr>
              <w:t>in the relations within the Spanish Pacific</w:t>
            </w:r>
            <w:r>
              <w:rPr>
                <w:sz w:val="20"/>
              </w:rPr>
              <w:t xml:space="preserve">, and </w:t>
            </w:r>
            <w:r w:rsidR="002E1CBD">
              <w:rPr>
                <w:sz w:val="20"/>
              </w:rPr>
              <w:t>its</w:t>
            </w:r>
            <w:r>
              <w:rPr>
                <w:sz w:val="20"/>
              </w:rPr>
              <w:t xml:space="preserve"> </w:t>
            </w:r>
            <w:r w:rsidRPr="00EB0678">
              <w:rPr>
                <w:b/>
                <w:sz w:val="20"/>
              </w:rPr>
              <w:t>global</w:t>
            </w:r>
            <w:r>
              <w:rPr>
                <w:sz w:val="20"/>
              </w:rPr>
              <w:t xml:space="preserve"> </w:t>
            </w:r>
            <w:r w:rsidR="00EE19C7">
              <w:rPr>
                <w:sz w:val="20"/>
              </w:rPr>
              <w:t xml:space="preserve">impact </w:t>
            </w:r>
            <w:r w:rsidR="002E1CBD">
              <w:rPr>
                <w:sz w:val="20"/>
              </w:rPr>
              <w:t>beyond the limits of the Spanish monarchy</w:t>
            </w:r>
            <w:r>
              <w:rPr>
                <w:sz w:val="20"/>
              </w:rPr>
              <w:t xml:space="preserve">.  </w:t>
            </w:r>
          </w:p>
          <w:p w14:paraId="5297853F" w14:textId="77777777" w:rsidR="00B436EA" w:rsidRPr="0020610E" w:rsidRDefault="00B436EA" w:rsidP="00F76D53">
            <w:pPr>
              <w:rPr>
                <w:sz w:val="20"/>
              </w:rPr>
            </w:pPr>
          </w:p>
          <w:p w14:paraId="19DF9522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Evaluation Process:</w:t>
            </w:r>
          </w:p>
          <w:p w14:paraId="31690BA0" w14:textId="77777777" w:rsidR="00B436EA" w:rsidRPr="0020610E" w:rsidRDefault="00B436EA" w:rsidP="00F76D53">
            <w:pPr>
              <w:ind w:firstLine="250"/>
              <w:rPr>
                <w:sz w:val="20"/>
              </w:rPr>
            </w:pPr>
            <w:r w:rsidRPr="0020610E">
              <w:rPr>
                <w:sz w:val="20"/>
              </w:rPr>
              <w:t>Students will be assessed on their ability to:</w:t>
            </w:r>
          </w:p>
          <w:p w14:paraId="25EFBD89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 xml:space="preserve">Attentively engage with the information </w:t>
            </w:r>
            <w:r>
              <w:rPr>
                <w:sz w:val="20"/>
              </w:rPr>
              <w:t>obtained from the sources.</w:t>
            </w:r>
          </w:p>
          <w:p w14:paraId="79470463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 xml:space="preserve">Provide historical context from the course to assess and contextualize the information </w:t>
            </w:r>
            <w:r>
              <w:rPr>
                <w:sz w:val="20"/>
              </w:rPr>
              <w:t xml:space="preserve">gathered </w:t>
            </w:r>
          </w:p>
          <w:p w14:paraId="34803F14" w14:textId="77777777" w:rsidR="00B436EA" w:rsidRPr="0020610E" w:rsidRDefault="00B436EA" w:rsidP="00B436EA">
            <w:pPr>
              <w:pStyle w:val="ListParagraph"/>
              <w:numPr>
                <w:ilvl w:val="0"/>
                <w:numId w:val="3"/>
              </w:numPr>
              <w:ind w:left="520" w:hanging="270"/>
              <w:rPr>
                <w:sz w:val="20"/>
              </w:rPr>
            </w:pPr>
            <w:r w:rsidRPr="0020610E">
              <w:rPr>
                <w:sz w:val="20"/>
              </w:rPr>
              <w:t>Draw their own analytic conclusion about the topic presented</w:t>
            </w:r>
          </w:p>
          <w:p w14:paraId="3700B882" w14:textId="77777777" w:rsidR="00B436EA" w:rsidRPr="0020610E" w:rsidRDefault="00B436EA" w:rsidP="00F76D53">
            <w:pPr>
              <w:rPr>
                <w:sz w:val="20"/>
              </w:rPr>
            </w:pPr>
          </w:p>
          <w:p w14:paraId="31B32FB0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Minimum Criteria for Success:</w:t>
            </w:r>
          </w:p>
          <w:p w14:paraId="42395252" w14:textId="77777777" w:rsidR="00B436EA" w:rsidRDefault="00B436EA" w:rsidP="00F76D53">
            <w:pPr>
              <w:ind w:left="430"/>
              <w:rPr>
                <w:sz w:val="20"/>
              </w:rPr>
            </w:pPr>
            <w:r w:rsidRPr="0020610E">
              <w:rPr>
                <w:sz w:val="20"/>
              </w:rPr>
              <w:t xml:space="preserve">Completion of the assignment. Students will be given </w:t>
            </w:r>
            <w:r>
              <w:rPr>
                <w:sz w:val="20"/>
              </w:rPr>
              <w:t>feedback</w:t>
            </w:r>
            <w:r w:rsidRPr="0020610E">
              <w:rPr>
                <w:sz w:val="20"/>
              </w:rPr>
              <w:t xml:space="preserve">, but the assignment </w:t>
            </w:r>
            <w:r>
              <w:rPr>
                <w:sz w:val="20"/>
              </w:rPr>
              <w:t>is</w:t>
            </w:r>
            <w:r w:rsidRPr="0020610E">
              <w:rPr>
                <w:sz w:val="20"/>
              </w:rPr>
              <w:t xml:space="preserve"> pass/fail.</w:t>
            </w:r>
          </w:p>
          <w:p w14:paraId="2C17F665" w14:textId="77777777" w:rsidR="00B436EA" w:rsidRPr="0020610E" w:rsidRDefault="00B436EA" w:rsidP="00F76D53">
            <w:pPr>
              <w:ind w:left="430"/>
              <w:rPr>
                <w:sz w:val="20"/>
              </w:rPr>
            </w:pPr>
          </w:p>
          <w:p w14:paraId="2E545C08" w14:textId="77777777" w:rsidR="00B436EA" w:rsidRPr="0020610E" w:rsidRDefault="00B436EA" w:rsidP="00F76D53">
            <w:pPr>
              <w:rPr>
                <w:sz w:val="20"/>
              </w:rPr>
            </w:pPr>
            <w:r w:rsidRPr="0020610E">
              <w:rPr>
                <w:sz w:val="20"/>
              </w:rPr>
              <w:t>Sample:</w:t>
            </w:r>
          </w:p>
          <w:p w14:paraId="755B627D" w14:textId="77777777" w:rsidR="00B436EA" w:rsidRDefault="00B436EA" w:rsidP="00F76D53">
            <w:pPr>
              <w:rPr>
                <w:sz w:val="22"/>
              </w:rPr>
            </w:pPr>
            <w:r w:rsidRPr="0020610E">
              <w:rPr>
                <w:sz w:val="22"/>
              </w:rPr>
              <w:t>All students will be assessed.</w:t>
            </w:r>
          </w:p>
          <w:p w14:paraId="4DDE4F78" w14:textId="77777777" w:rsidR="00B436EA" w:rsidRPr="00A80501" w:rsidRDefault="00B436EA" w:rsidP="00F76D5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1874" w:type="dxa"/>
            <w:vMerge w:val="restart"/>
          </w:tcPr>
          <w:p w14:paraId="649B8462" w14:textId="77777777" w:rsidR="00B436EA" w:rsidRPr="003D281E" w:rsidRDefault="00B436EA" w:rsidP="00F76D53">
            <w:pPr>
              <w:rPr>
                <w:sz w:val="22"/>
              </w:rPr>
            </w:pPr>
          </w:p>
          <w:p w14:paraId="3D32A2FB" w14:textId="77777777" w:rsidR="00B436EA" w:rsidRPr="003D281E" w:rsidRDefault="00B436EA" w:rsidP="00F76D53">
            <w:pPr>
              <w:rPr>
                <w:sz w:val="22"/>
              </w:rPr>
            </w:pPr>
          </w:p>
          <w:p w14:paraId="5AA348EE" w14:textId="77777777" w:rsidR="00B436EA" w:rsidRPr="003D281E" w:rsidRDefault="00B436EA" w:rsidP="00F76D53">
            <w:pPr>
              <w:rPr>
                <w:sz w:val="22"/>
              </w:rPr>
            </w:pPr>
          </w:p>
          <w:p w14:paraId="4531B2D2" w14:textId="77777777" w:rsidR="00B436EA" w:rsidRPr="003D281E" w:rsidRDefault="00B436EA" w:rsidP="00F76D53">
            <w:pPr>
              <w:rPr>
                <w:sz w:val="22"/>
              </w:rPr>
            </w:pPr>
          </w:p>
          <w:p w14:paraId="1EA5EC65" w14:textId="77777777" w:rsidR="00B436EA" w:rsidRPr="003D281E" w:rsidRDefault="00B436EA" w:rsidP="00F76D53">
            <w:pPr>
              <w:rPr>
                <w:sz w:val="22"/>
              </w:rPr>
            </w:pPr>
          </w:p>
          <w:p w14:paraId="5E6AAAD1" w14:textId="77777777" w:rsidR="00B436EA" w:rsidRPr="003D281E" w:rsidRDefault="00B436EA" w:rsidP="00F76D53">
            <w:pPr>
              <w:rPr>
                <w:sz w:val="22"/>
              </w:rPr>
            </w:pPr>
          </w:p>
          <w:p w14:paraId="3D2802BF" w14:textId="77777777" w:rsidR="00B436EA" w:rsidRPr="003D281E" w:rsidRDefault="00B436EA" w:rsidP="00F76D53">
            <w:pPr>
              <w:rPr>
                <w:sz w:val="22"/>
              </w:rPr>
            </w:pPr>
          </w:p>
          <w:p w14:paraId="42FE25AA" w14:textId="77777777" w:rsidR="00B436EA" w:rsidRPr="003D281E" w:rsidRDefault="00B436EA" w:rsidP="00F76D53">
            <w:pPr>
              <w:rPr>
                <w:sz w:val="22"/>
              </w:rPr>
            </w:pPr>
          </w:p>
          <w:p w14:paraId="2AF7C127" w14:textId="77777777" w:rsidR="00B436EA" w:rsidRPr="003D281E" w:rsidRDefault="00B436EA" w:rsidP="00F76D53">
            <w:pPr>
              <w:rPr>
                <w:sz w:val="22"/>
              </w:rPr>
            </w:pPr>
          </w:p>
          <w:p w14:paraId="7DB9B933" w14:textId="77777777" w:rsidR="00B436EA" w:rsidRPr="003D281E" w:rsidRDefault="00B436EA" w:rsidP="00F76D53">
            <w:pPr>
              <w:rPr>
                <w:sz w:val="22"/>
              </w:rPr>
            </w:pPr>
          </w:p>
          <w:p w14:paraId="5902D708" w14:textId="77777777" w:rsidR="00B436EA" w:rsidRPr="003D281E" w:rsidRDefault="00B436EA" w:rsidP="00F76D53">
            <w:pPr>
              <w:rPr>
                <w:sz w:val="22"/>
              </w:rPr>
            </w:pPr>
          </w:p>
          <w:p w14:paraId="5D003156" w14:textId="77777777" w:rsidR="00B436EA" w:rsidRPr="003D281E" w:rsidRDefault="00B436EA" w:rsidP="00F76D53">
            <w:pPr>
              <w:rPr>
                <w:sz w:val="22"/>
              </w:rPr>
            </w:pPr>
          </w:p>
          <w:p w14:paraId="6B718B81" w14:textId="77777777" w:rsidR="00B436EA" w:rsidRPr="003D281E" w:rsidRDefault="00B436EA" w:rsidP="00F76D53">
            <w:pPr>
              <w:rPr>
                <w:sz w:val="22"/>
              </w:rPr>
            </w:pPr>
          </w:p>
          <w:p w14:paraId="7E01B6D7" w14:textId="77777777" w:rsidR="00B436EA" w:rsidRPr="003D281E" w:rsidRDefault="00B436EA" w:rsidP="00F76D53">
            <w:pPr>
              <w:rPr>
                <w:sz w:val="22"/>
              </w:rPr>
            </w:pPr>
          </w:p>
          <w:p w14:paraId="22D0545D" w14:textId="77777777" w:rsidR="00B436EA" w:rsidRPr="003D281E" w:rsidRDefault="00B436EA" w:rsidP="00F76D53">
            <w:pPr>
              <w:rPr>
                <w:sz w:val="22"/>
              </w:rPr>
            </w:pPr>
          </w:p>
          <w:p w14:paraId="2D4129CF" w14:textId="77777777" w:rsidR="00B436EA" w:rsidRPr="003D281E" w:rsidRDefault="00B436EA" w:rsidP="00F76D53">
            <w:pPr>
              <w:rPr>
                <w:sz w:val="22"/>
              </w:rPr>
            </w:pPr>
          </w:p>
          <w:p w14:paraId="37EDC29E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29A6D30B" w14:textId="77777777" w:rsidTr="00F76D53">
        <w:trPr>
          <w:trHeight w:val="260"/>
        </w:trPr>
        <w:tc>
          <w:tcPr>
            <w:tcW w:w="2767" w:type="dxa"/>
          </w:tcPr>
          <w:p w14:paraId="0F7AFECE" w14:textId="77777777" w:rsidR="00B436EA" w:rsidRPr="003D281E" w:rsidRDefault="00B436EA" w:rsidP="00F76D5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8190" w:type="dxa"/>
            <w:vMerge/>
          </w:tcPr>
          <w:p w14:paraId="7C8DEBF1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874" w:type="dxa"/>
            <w:vMerge/>
          </w:tcPr>
          <w:p w14:paraId="6BA164D9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318CE079" w14:textId="77777777" w:rsidTr="00F76D53">
        <w:trPr>
          <w:trHeight w:val="2393"/>
        </w:trPr>
        <w:tc>
          <w:tcPr>
            <w:tcW w:w="2767" w:type="dxa"/>
          </w:tcPr>
          <w:p w14:paraId="7FFB0A5C" w14:textId="7468039C" w:rsidR="00B436EA" w:rsidRPr="00A80501" w:rsidRDefault="00B436EA" w:rsidP="00F76D53">
            <w:pPr>
              <w:rPr>
                <w:i/>
                <w:color w:val="0070C0"/>
                <w:sz w:val="20"/>
              </w:rPr>
            </w:pPr>
            <w:r w:rsidRPr="00AF6768">
              <w:rPr>
                <w:sz w:val="20"/>
              </w:rPr>
              <w:t>Students must demonstr</w:t>
            </w:r>
            <w:r>
              <w:rPr>
                <w:sz w:val="20"/>
              </w:rPr>
              <w:t xml:space="preserve">ate their willingness to </w:t>
            </w:r>
            <w:r w:rsidR="002E1CBD">
              <w:rPr>
                <w:sz w:val="20"/>
              </w:rPr>
              <w:t>examine the local, regional, and global impact that single commodities promoted within the</w:t>
            </w:r>
            <w:r w:rsidR="00EE19C7">
              <w:rPr>
                <w:sz w:val="20"/>
              </w:rPr>
              <w:t xml:space="preserve"> Spanish </w:t>
            </w:r>
            <w:r w:rsidR="002E1CBD">
              <w:rPr>
                <w:sz w:val="20"/>
              </w:rPr>
              <w:t xml:space="preserve">Pacific </w:t>
            </w:r>
            <w:r w:rsidR="002E1CBD" w:rsidRPr="002E1CBD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larger process of globalization</w:t>
            </w:r>
            <w:r w:rsidR="00EE19C7">
              <w:rPr>
                <w:sz w:val="20"/>
              </w:rPr>
              <w:t>.</w:t>
            </w:r>
          </w:p>
        </w:tc>
        <w:tc>
          <w:tcPr>
            <w:tcW w:w="8190" w:type="dxa"/>
            <w:vMerge/>
          </w:tcPr>
          <w:p w14:paraId="5CC9628E" w14:textId="77777777" w:rsidR="00B436EA" w:rsidRPr="003D281E" w:rsidRDefault="00B436EA" w:rsidP="00F76D53">
            <w:pPr>
              <w:rPr>
                <w:sz w:val="22"/>
              </w:rPr>
            </w:pPr>
          </w:p>
        </w:tc>
        <w:tc>
          <w:tcPr>
            <w:tcW w:w="1874" w:type="dxa"/>
            <w:vMerge/>
          </w:tcPr>
          <w:p w14:paraId="34D6DA99" w14:textId="77777777" w:rsidR="00B436EA" w:rsidRPr="003D281E" w:rsidRDefault="00B436EA" w:rsidP="00F76D53">
            <w:pPr>
              <w:rPr>
                <w:sz w:val="22"/>
              </w:rPr>
            </w:pPr>
          </w:p>
        </w:tc>
      </w:tr>
      <w:tr w:rsidR="00B436EA" w:rsidRPr="00F632F6" w14:paraId="13A56115" w14:textId="77777777" w:rsidTr="00F76D53">
        <w:trPr>
          <w:trHeight w:val="260"/>
        </w:trPr>
        <w:tc>
          <w:tcPr>
            <w:tcW w:w="12831" w:type="dxa"/>
            <w:gridSpan w:val="3"/>
          </w:tcPr>
          <w:p w14:paraId="048C40FA" w14:textId="77777777" w:rsidR="00B436EA" w:rsidRPr="003D281E" w:rsidRDefault="00B436EA" w:rsidP="00F76D5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B436EA" w:rsidRPr="00F632F6" w14:paraId="310E3DFF" w14:textId="77777777" w:rsidTr="00F76D53">
        <w:trPr>
          <w:trHeight w:val="1664"/>
        </w:trPr>
        <w:tc>
          <w:tcPr>
            <w:tcW w:w="12831" w:type="dxa"/>
            <w:gridSpan w:val="3"/>
          </w:tcPr>
          <w:p w14:paraId="4A8A2730" w14:textId="77777777" w:rsidR="00B436EA" w:rsidRPr="00C01161" w:rsidRDefault="00B436EA" w:rsidP="00F76D5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7BB8FE6A" w14:textId="77777777" w:rsidR="00A56544" w:rsidRDefault="00BE753C"/>
    <w:sectPr w:rsidR="00A56544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8B20E" w14:textId="77777777" w:rsidR="00BE753C" w:rsidRDefault="00BE753C" w:rsidP="00E72F40">
      <w:r>
        <w:separator/>
      </w:r>
    </w:p>
  </w:endnote>
  <w:endnote w:type="continuationSeparator" w:id="0">
    <w:p w14:paraId="5A81DA74" w14:textId="77777777" w:rsidR="00BE753C" w:rsidRDefault="00BE753C" w:rsidP="00E7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8255" w14:textId="77777777" w:rsidR="007821C4" w:rsidRDefault="00F86CE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3BCC14" w14:textId="77777777" w:rsidR="007821C4" w:rsidRDefault="00BE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DA01F" w14:textId="77777777" w:rsidR="007821C4" w:rsidRPr="00795F81" w:rsidRDefault="00F86CE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7794B99F" w14:textId="77777777" w:rsidR="007821C4" w:rsidRPr="007D21C5" w:rsidRDefault="00F86CE3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F7A76" w14:textId="77777777" w:rsidR="00BE753C" w:rsidRDefault="00BE753C" w:rsidP="00E72F40">
      <w:r>
        <w:separator/>
      </w:r>
    </w:p>
  </w:footnote>
  <w:footnote w:type="continuationSeparator" w:id="0">
    <w:p w14:paraId="66669DBC" w14:textId="77777777" w:rsidR="00BE753C" w:rsidRDefault="00BE753C" w:rsidP="00E72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305C" w14:textId="77777777" w:rsidR="007821C4" w:rsidRDefault="00F86CE3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26C01796" wp14:editId="32558EE3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1507DF" w14:textId="77777777" w:rsidR="007821C4" w:rsidRPr="00FD3E31" w:rsidRDefault="00F86C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23DBD6AC" w14:textId="77777777" w:rsidR="00FD3E31" w:rsidRDefault="00F86CE3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43C74419" w14:textId="77777777" w:rsidR="00FD3E31" w:rsidRPr="00FD3E31" w:rsidRDefault="00BE753C" w:rsidP="00581F94">
    <w:pPr>
      <w:rPr>
        <w:b/>
        <w:sz w:val="16"/>
        <w:szCs w:val="16"/>
      </w:rPr>
    </w:pPr>
  </w:p>
  <w:p w14:paraId="4E8C5516" w14:textId="77777777" w:rsidR="007821C4" w:rsidRPr="00581F94" w:rsidRDefault="00F86CE3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Dr. Judith Mansilla</w:t>
    </w:r>
  </w:p>
  <w:p w14:paraId="78A91D4E" w14:textId="0E03CAF3" w:rsidR="007821C4" w:rsidRPr="006270C8" w:rsidRDefault="00F86CE3" w:rsidP="00351663">
    <w:pPr>
      <w:rPr>
        <w:color w:val="0070C0"/>
        <w:sz w:val="20"/>
        <w:u w:val="single"/>
      </w:rPr>
    </w:pPr>
    <w:r w:rsidRPr="00581F94">
      <w:rPr>
        <w:sz w:val="20"/>
      </w:rPr>
      <w:t xml:space="preserve">Course:  </w:t>
    </w:r>
    <w:r w:rsidR="00583F3D">
      <w:rPr>
        <w:color w:val="0070C0"/>
        <w:sz w:val="20"/>
        <w:u w:val="single"/>
      </w:rPr>
      <w:t xml:space="preserve">WOH4431 </w:t>
    </w:r>
    <w:r w:rsidR="001461B6">
      <w:rPr>
        <w:color w:val="0070C0"/>
        <w:sz w:val="20"/>
        <w:u w:val="single"/>
      </w:rPr>
      <w:t xml:space="preserve">Ships, Cargo, and Greed: Material and Cultural encounters in the </w:t>
    </w:r>
    <w:r w:rsidR="005E7EDB">
      <w:rPr>
        <w:color w:val="0070C0"/>
        <w:sz w:val="20"/>
        <w:u w:val="single"/>
      </w:rPr>
      <w:t>Spanish Pacific</w:t>
    </w:r>
    <w:r w:rsidR="001461B6">
      <w:rPr>
        <w:color w:val="0070C0"/>
        <w:sz w:val="20"/>
        <w:u w:val="single"/>
      </w:rPr>
      <w:t>, 1513-1815</w:t>
    </w:r>
    <w:r w:rsidRPr="00581F94">
      <w:rPr>
        <w:sz w:val="20"/>
      </w:rPr>
      <w:tab/>
    </w:r>
  </w:p>
  <w:p w14:paraId="0AD64442" w14:textId="77777777" w:rsidR="007821C4" w:rsidRPr="00581F94" w:rsidRDefault="00F86CE3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ab/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>
      <w:rPr>
        <w:sz w:val="20"/>
      </w:rPr>
      <w:tab/>
    </w:r>
    <w:r>
      <w:rPr>
        <w:sz w:val="20"/>
      </w:rPr>
      <w:tab/>
      <w:t>BA 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52FA2"/>
    <w:multiLevelType w:val="hybridMultilevel"/>
    <w:tmpl w:val="6E5665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D0C446F"/>
    <w:multiLevelType w:val="hybridMultilevel"/>
    <w:tmpl w:val="4978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E5F51"/>
    <w:multiLevelType w:val="hybridMultilevel"/>
    <w:tmpl w:val="4530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EA"/>
    <w:rsid w:val="001461B6"/>
    <w:rsid w:val="002E1CBD"/>
    <w:rsid w:val="0030383B"/>
    <w:rsid w:val="00583F3D"/>
    <w:rsid w:val="005E7EDB"/>
    <w:rsid w:val="006270C8"/>
    <w:rsid w:val="006D13F9"/>
    <w:rsid w:val="00746705"/>
    <w:rsid w:val="007537E9"/>
    <w:rsid w:val="0088528E"/>
    <w:rsid w:val="008C4F6C"/>
    <w:rsid w:val="00A632B4"/>
    <w:rsid w:val="00B436EA"/>
    <w:rsid w:val="00BA63CC"/>
    <w:rsid w:val="00BE753C"/>
    <w:rsid w:val="00C36CD9"/>
    <w:rsid w:val="00CE0B01"/>
    <w:rsid w:val="00D419F3"/>
    <w:rsid w:val="00DA10EA"/>
    <w:rsid w:val="00DC2B97"/>
    <w:rsid w:val="00E72F40"/>
    <w:rsid w:val="00EE19C7"/>
    <w:rsid w:val="00F40EA8"/>
    <w:rsid w:val="00F8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509057"/>
  <w15:chartTrackingRefBased/>
  <w15:docId w15:val="{9829EBC3-E939-704D-9A8E-9F57350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6EA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436EA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36EA"/>
    <w:rPr>
      <w:rFonts w:ascii="Times New Roman" w:eastAsia="Times New Roman" w:hAnsi="Times New Roman" w:cs="Times New Roman"/>
      <w:b/>
      <w:bCs/>
      <w:sz w:val="18"/>
    </w:rPr>
  </w:style>
  <w:style w:type="paragraph" w:styleId="Footer">
    <w:name w:val="footer"/>
    <w:basedOn w:val="Normal"/>
    <w:link w:val="FooterChar"/>
    <w:uiPriority w:val="99"/>
    <w:rsid w:val="00B43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6EA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rsid w:val="00B436EA"/>
  </w:style>
  <w:style w:type="paragraph" w:styleId="ListParagraph">
    <w:name w:val="List Paragraph"/>
    <w:basedOn w:val="Normal"/>
    <w:rsid w:val="00B43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2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F40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719</Words>
  <Characters>4778</Characters>
  <Application>Microsoft Office Word</Application>
  <DocSecurity>0</DocSecurity>
  <Lines>367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Mansilla</dc:creator>
  <cp:keywords/>
  <dc:description/>
  <cp:lastModifiedBy>Judith Mansilla</cp:lastModifiedBy>
  <cp:revision>3</cp:revision>
  <dcterms:created xsi:type="dcterms:W3CDTF">2020-10-09T16:03:00Z</dcterms:created>
  <dcterms:modified xsi:type="dcterms:W3CDTF">2021-04-05T18:37:00Z</dcterms:modified>
</cp:coreProperties>
</file>