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B1E2C" w:rsidRPr="00DB1E2C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>Assessment Activity/Artifact:</w:t>
            </w:r>
          </w:p>
          <w:p w:rsidR="00DB1E2C" w:rsidRPr="00DB1E2C" w:rsidRDefault="00DB1E2C" w:rsidP="00DB1E2C">
            <w:pPr>
              <w:rPr>
                <w:iCs/>
                <w:sz w:val="20"/>
              </w:rPr>
            </w:pPr>
            <w:r w:rsidRPr="00DB1E2C">
              <w:rPr>
                <w:iCs/>
                <w:sz w:val="20"/>
              </w:rPr>
              <w:t>Exa</w:t>
            </w:r>
            <w:r w:rsidR="00F209C2">
              <w:rPr>
                <w:iCs/>
                <w:sz w:val="20"/>
              </w:rPr>
              <w:t>ms- Students will complete two</w:t>
            </w:r>
            <w:r w:rsidRPr="00DB1E2C">
              <w:rPr>
                <w:iCs/>
                <w:sz w:val="20"/>
              </w:rPr>
              <w:t xml:space="preserve"> exams</w:t>
            </w:r>
            <w:r>
              <w:rPr>
                <w:iCs/>
                <w:sz w:val="20"/>
              </w:rPr>
              <w:t xml:space="preserve"> </w:t>
            </w:r>
            <w:r w:rsidRPr="00DB1E2C">
              <w:rPr>
                <w:iCs/>
                <w:sz w:val="20"/>
              </w:rPr>
              <w:t>that ask questions about the interrelatedness</w:t>
            </w:r>
            <w:r>
              <w:rPr>
                <w:iCs/>
                <w:sz w:val="20"/>
              </w:rPr>
              <w:t xml:space="preserve"> </w:t>
            </w:r>
            <w:r w:rsidRPr="00DB1E2C">
              <w:rPr>
                <w:iCs/>
                <w:sz w:val="20"/>
              </w:rPr>
              <w:t>of local, global, international, and intercultural</w:t>
            </w:r>
            <w:r>
              <w:rPr>
                <w:iCs/>
                <w:sz w:val="20"/>
              </w:rPr>
              <w:t xml:space="preserve"> </w:t>
            </w:r>
            <w:r w:rsidRPr="00DB1E2C">
              <w:rPr>
                <w:iCs/>
                <w:sz w:val="20"/>
              </w:rPr>
              <w:t>issues, trends, and systems from</w:t>
            </w:r>
            <w:r>
              <w:rPr>
                <w:iCs/>
                <w:sz w:val="20"/>
              </w:rPr>
              <w:t xml:space="preserve"> </w:t>
            </w:r>
            <w:r w:rsidRPr="00DB1E2C">
              <w:rPr>
                <w:iCs/>
                <w:sz w:val="20"/>
              </w:rPr>
              <w:t>psychological perspectives</w:t>
            </w: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DB1E2C" w:rsidRPr="00DB1E2C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>Evaluation Process:</w:t>
            </w:r>
          </w:p>
          <w:p w:rsidR="00DB1E2C" w:rsidRPr="00DB1E2C" w:rsidRDefault="00DB1E2C" w:rsidP="00DB1E2C">
            <w:pPr>
              <w:rPr>
                <w:iCs/>
                <w:sz w:val="20"/>
              </w:rPr>
            </w:pPr>
            <w:r w:rsidRPr="00DB1E2C">
              <w:rPr>
                <w:iCs/>
                <w:sz w:val="20"/>
              </w:rPr>
              <w:t>Answers will be graded as correct or incorrect.</w:t>
            </w: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DB1E2C" w:rsidRPr="00DB1E2C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>Minimum Criteria for Success:</w:t>
            </w:r>
          </w:p>
          <w:p w:rsidR="00DB1E2C" w:rsidRPr="00DB1E2C" w:rsidRDefault="000A79B0" w:rsidP="00DB1E2C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Students must answer at least 6</w:t>
            </w:r>
            <w:r w:rsidR="00DB1E2C" w:rsidRPr="00DB1E2C">
              <w:rPr>
                <w:iCs/>
                <w:sz w:val="20"/>
              </w:rPr>
              <w:t>0% of the</w:t>
            </w:r>
            <w:r w:rsidR="00DB1E2C">
              <w:rPr>
                <w:iCs/>
                <w:sz w:val="20"/>
              </w:rPr>
              <w:t xml:space="preserve"> </w:t>
            </w:r>
            <w:r w:rsidR="00DB1E2C" w:rsidRPr="00DB1E2C">
              <w:rPr>
                <w:iCs/>
                <w:sz w:val="20"/>
              </w:rPr>
              <w:t>questions correctly to pass.</w:t>
            </w: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E06F48" w:rsidRPr="00DB1E2C" w:rsidRDefault="00DB1E2C" w:rsidP="00DB1E2C">
            <w:pPr>
              <w:rPr>
                <w:color w:val="0070C0"/>
                <w:sz w:val="22"/>
              </w:rPr>
            </w:pPr>
            <w:r w:rsidRPr="00DB1E2C">
              <w:rPr>
                <w:sz w:val="20"/>
              </w:rPr>
              <w:t>Sample:</w:t>
            </w:r>
            <w:r>
              <w:rPr>
                <w:sz w:val="20"/>
              </w:rPr>
              <w:t xml:space="preserve"> All students will be assessed.</w:t>
            </w: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DB1E2C" w:rsidRDefault="00DB1E2C" w:rsidP="00351663">
            <w:pPr>
              <w:rPr>
                <w:i/>
                <w:color w:val="0070C0"/>
                <w:sz w:val="22"/>
              </w:rPr>
            </w:pPr>
          </w:p>
          <w:p w:rsidR="00DB1E2C" w:rsidRDefault="00DB1E2C" w:rsidP="00351663">
            <w:pPr>
              <w:rPr>
                <w:i/>
                <w:color w:val="0070C0"/>
                <w:sz w:val="22"/>
              </w:rPr>
            </w:pPr>
          </w:p>
          <w:p w:rsidR="00DB1E2C" w:rsidRDefault="00DB1E2C" w:rsidP="00351663">
            <w:pPr>
              <w:rPr>
                <w:i/>
                <w:color w:val="0070C0"/>
                <w:sz w:val="22"/>
              </w:rPr>
            </w:pPr>
          </w:p>
          <w:p w:rsidR="00DB1E2C" w:rsidRDefault="00DB1E2C" w:rsidP="00351663">
            <w:pPr>
              <w:rPr>
                <w:i/>
                <w:color w:val="0070C0"/>
                <w:sz w:val="22"/>
              </w:rPr>
            </w:pPr>
          </w:p>
          <w:p w:rsidR="00DB1E2C" w:rsidRPr="00A80501" w:rsidRDefault="00DB1E2C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5D738D" w:rsidRDefault="005D738D" w:rsidP="00351663">
            <w:pPr>
              <w:rPr>
                <w:i/>
                <w:color w:val="4F81BD" w:themeColor="accent1"/>
                <w:sz w:val="22"/>
              </w:rPr>
            </w:pPr>
            <w:r>
              <w:rPr>
                <w:i/>
                <w:color w:val="4F81BD" w:themeColor="accent1"/>
                <w:sz w:val="22"/>
              </w:rPr>
              <w:t>To be entered after each time course is taught</w:t>
            </w:r>
          </w:p>
          <w:p w:rsidR="00147CC6" w:rsidRPr="003D281E" w:rsidRDefault="005D738D" w:rsidP="0035166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FA57DD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DB1E2C" w:rsidRDefault="00DB1E2C" w:rsidP="00DB1E2C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Students will be able to </w:t>
            </w:r>
            <w:r w:rsidRPr="00DB1E2C">
              <w:rPr>
                <w:i/>
                <w:iCs/>
                <w:sz w:val="20"/>
              </w:rPr>
              <w:t>Identify the interrelatedness of local, global,</w:t>
            </w:r>
            <w:r>
              <w:rPr>
                <w:i/>
                <w:iCs/>
                <w:sz w:val="20"/>
              </w:rPr>
              <w:t xml:space="preserve"> </w:t>
            </w:r>
            <w:r w:rsidRPr="00DB1E2C">
              <w:rPr>
                <w:i/>
                <w:iCs/>
                <w:sz w:val="20"/>
              </w:rPr>
              <w:t>internati</w:t>
            </w:r>
            <w:r>
              <w:rPr>
                <w:i/>
                <w:iCs/>
                <w:sz w:val="20"/>
              </w:rPr>
              <w:t xml:space="preserve">onal, and intercultural issues, </w:t>
            </w:r>
            <w:r w:rsidRPr="00DB1E2C">
              <w:rPr>
                <w:i/>
                <w:iCs/>
                <w:sz w:val="20"/>
              </w:rPr>
              <w:t>trends,</w:t>
            </w:r>
            <w:r>
              <w:rPr>
                <w:i/>
                <w:iCs/>
                <w:sz w:val="20"/>
              </w:rPr>
              <w:t xml:space="preserve"> </w:t>
            </w:r>
            <w:r w:rsidRPr="00DB1E2C">
              <w:rPr>
                <w:i/>
                <w:iCs/>
                <w:sz w:val="20"/>
              </w:rPr>
              <w:t>and systems from psychological perspectives</w:t>
            </w:r>
            <w:r>
              <w:rPr>
                <w:i/>
                <w:iCs/>
                <w:sz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5D738D" w:rsidRPr="005D738D" w:rsidRDefault="005D738D" w:rsidP="005D738D">
            <w:pPr>
              <w:rPr>
                <w:i/>
                <w:color w:val="4F81BD" w:themeColor="accent1"/>
                <w:sz w:val="22"/>
              </w:rPr>
            </w:pPr>
            <w:r>
              <w:rPr>
                <w:i/>
                <w:color w:val="4F81BD" w:themeColor="accent1"/>
                <w:sz w:val="22"/>
              </w:rPr>
              <w:t>To be entered after each time course is taught</w:t>
            </w:r>
          </w:p>
          <w:p w:rsidR="00E06F48" w:rsidRDefault="00E06F48" w:rsidP="00B95595">
            <w:pPr>
              <w:rPr>
                <w:i/>
                <w:color w:val="0070C0"/>
                <w:sz w:val="20"/>
              </w:rPr>
            </w:pPr>
          </w:p>
          <w:p w:rsidR="00147CC6" w:rsidRPr="001E1E68" w:rsidRDefault="005D738D" w:rsidP="003A4E8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962"/>
        <w:gridCol w:w="3381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  <w:gridSpan w:val="2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DB1E2C" w:rsidRPr="00DB1E2C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>Assessment Activity/Artifact:</w:t>
            </w:r>
          </w:p>
          <w:p w:rsidR="00DB1E2C" w:rsidRDefault="001F4799" w:rsidP="00DB1E2C">
            <w:pPr>
              <w:rPr>
                <w:sz w:val="20"/>
              </w:rPr>
            </w:pPr>
            <w:r>
              <w:rPr>
                <w:sz w:val="20"/>
              </w:rPr>
              <w:t>-Small and large group discussions/activities</w:t>
            </w:r>
          </w:p>
          <w:p w:rsidR="001F4799" w:rsidRDefault="001F4799" w:rsidP="00DB1E2C">
            <w:pPr>
              <w:rPr>
                <w:sz w:val="20"/>
              </w:rPr>
            </w:pPr>
            <w:r>
              <w:rPr>
                <w:sz w:val="20"/>
              </w:rPr>
              <w:t>-Guest speakers</w:t>
            </w:r>
          </w:p>
          <w:p w:rsidR="009041CD" w:rsidRDefault="009041CD" w:rsidP="00DB1E2C">
            <w:pPr>
              <w:rPr>
                <w:sz w:val="20"/>
              </w:rPr>
            </w:pPr>
            <w:r>
              <w:rPr>
                <w:sz w:val="20"/>
              </w:rPr>
              <w:t>-Course videos</w:t>
            </w:r>
          </w:p>
          <w:p w:rsidR="001F4799" w:rsidRDefault="001F4799" w:rsidP="00DB1E2C">
            <w:pPr>
              <w:rPr>
                <w:sz w:val="20"/>
              </w:rPr>
            </w:pPr>
            <w:r>
              <w:rPr>
                <w:sz w:val="20"/>
              </w:rPr>
              <w:t>-A paper where students refl</w:t>
            </w:r>
            <w:r w:rsidR="00C738CC">
              <w:rPr>
                <w:sz w:val="20"/>
              </w:rPr>
              <w:t>ect</w:t>
            </w:r>
            <w:r>
              <w:rPr>
                <w:sz w:val="20"/>
              </w:rPr>
              <w:t xml:space="preserve"> on the above experiences</w:t>
            </w:r>
          </w:p>
          <w:p w:rsidR="001F4799" w:rsidRPr="00DB1E2C" w:rsidRDefault="001F4799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DB1E2C" w:rsidRPr="00DB1E2C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>Evaluation Process:</w:t>
            </w:r>
          </w:p>
          <w:p w:rsidR="00DB1E2C" w:rsidRPr="00DB1E2C" w:rsidRDefault="001F4799" w:rsidP="00DB1E2C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C738CC">
              <w:rPr>
                <w:sz w:val="20"/>
              </w:rPr>
              <w:t>ubric/guidelines will be</w:t>
            </w:r>
            <w:r>
              <w:rPr>
                <w:sz w:val="20"/>
              </w:rPr>
              <w:t xml:space="preserve"> provided</w:t>
            </w: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DB1E2C" w:rsidRPr="00DB1E2C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>Minimum Criteria for Success:</w:t>
            </w:r>
          </w:p>
          <w:p w:rsidR="00DB1E2C" w:rsidRPr="00DB1E2C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 xml:space="preserve">Students must </w:t>
            </w:r>
            <w:r w:rsidR="001F4799">
              <w:rPr>
                <w:sz w:val="20"/>
              </w:rPr>
              <w:t>be in class in order to witness/be a part of the activities and the guest speakers; students must meet 60% of the  guidelines to pass the paper portion</w:t>
            </w: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E06F48" w:rsidRDefault="00DB1E2C" w:rsidP="00DB1E2C">
            <w:pPr>
              <w:rPr>
                <w:sz w:val="20"/>
              </w:rPr>
            </w:pPr>
            <w:r w:rsidRPr="00DB1E2C">
              <w:rPr>
                <w:sz w:val="20"/>
              </w:rPr>
              <w:t>Sample:</w:t>
            </w:r>
            <w:r>
              <w:rPr>
                <w:sz w:val="20"/>
              </w:rPr>
              <w:t xml:space="preserve"> All students will be assessed.</w:t>
            </w: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sz w:val="20"/>
              </w:rPr>
            </w:pPr>
          </w:p>
          <w:p w:rsidR="00DB1E2C" w:rsidRDefault="00DB1E2C" w:rsidP="00DB1E2C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gridSpan w:val="2"/>
            <w:vMerge w:val="restart"/>
          </w:tcPr>
          <w:p w:rsidR="005D738D" w:rsidRPr="005D738D" w:rsidRDefault="005D738D" w:rsidP="005D738D">
            <w:pPr>
              <w:rPr>
                <w:i/>
                <w:color w:val="4F81BD" w:themeColor="accent1"/>
                <w:sz w:val="22"/>
              </w:rPr>
            </w:pPr>
            <w:r>
              <w:rPr>
                <w:i/>
                <w:color w:val="4F81BD" w:themeColor="accent1"/>
                <w:sz w:val="22"/>
              </w:rPr>
              <w:t>To be entered after each time course is taught</w:t>
            </w:r>
          </w:p>
          <w:p w:rsidR="00E06F48" w:rsidRPr="003D281E" w:rsidRDefault="00E06F48" w:rsidP="005D738D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DB1E2C" w:rsidRDefault="00DB1E2C" w:rsidP="00DB1E2C">
            <w:pPr>
              <w:widowControl w:val="0"/>
              <w:autoSpaceDE w:val="0"/>
              <w:autoSpaceDN w:val="0"/>
              <w:adjustRightInd w:val="0"/>
              <w:rPr>
                <w:rFonts w:ascii="Arial-ItalicMT" w:hAnsi="Arial-ItalicMT" w:cs="Arial-ItalicMT"/>
                <w:iCs/>
                <w:sz w:val="20"/>
                <w:szCs w:val="20"/>
              </w:rPr>
            </w:pPr>
            <w:r w:rsidRPr="00DB1E2C">
              <w:rPr>
                <w:rFonts w:ascii="Arial-ItalicMT" w:hAnsi="Arial-ItalicMT" w:cs="Arial-ItalicMT"/>
                <w:iCs/>
                <w:sz w:val="20"/>
                <w:szCs w:val="20"/>
              </w:rPr>
              <w:t>Illustrate an ability to engage in a multi-perspective psychological analysis of local, global, international, and intercultural psychological and behavioral problems.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4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4"/>
          </w:tcPr>
          <w:p w:rsidR="005D738D" w:rsidRPr="005D738D" w:rsidRDefault="005D738D" w:rsidP="005D738D">
            <w:pPr>
              <w:rPr>
                <w:i/>
                <w:color w:val="4F81BD" w:themeColor="accent1"/>
                <w:sz w:val="22"/>
              </w:rPr>
            </w:pPr>
            <w:r>
              <w:rPr>
                <w:i/>
                <w:color w:val="4F81BD" w:themeColor="accent1"/>
                <w:sz w:val="22"/>
              </w:rPr>
              <w:t>To be entered after each time course is taught</w:t>
            </w:r>
          </w:p>
          <w:p w:rsidR="009A43ED" w:rsidRPr="00CA44F8" w:rsidRDefault="009A43ED" w:rsidP="00351663">
            <w:pPr>
              <w:rPr>
                <w:sz w:val="20"/>
              </w:rPr>
            </w:pPr>
          </w:p>
        </w:tc>
      </w:tr>
      <w:tr w:rsidR="00E06F48" w:rsidRPr="00F632F6" w:rsidTr="005D738D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305" w:type="dxa"/>
            <w:gridSpan w:val="2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381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:rsidTr="005D738D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305" w:type="dxa"/>
            <w:gridSpan w:val="2"/>
            <w:vMerge w:val="restart"/>
          </w:tcPr>
          <w:p w:rsidR="00DB1E2C" w:rsidRPr="005D738D" w:rsidRDefault="00DB1E2C" w:rsidP="00DB1E2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D738D">
              <w:rPr>
                <w:rFonts w:ascii="ArialMT" w:hAnsi="ArialMT" w:cs="ArialMT"/>
                <w:sz w:val="20"/>
                <w:szCs w:val="20"/>
              </w:rPr>
              <w:t>Assessment Activity/Artifact:</w:t>
            </w:r>
          </w:p>
          <w:p w:rsidR="00DB1E2C" w:rsidRPr="005D738D" w:rsidRDefault="00A165F4" w:rsidP="00DB1E2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iCs/>
                <w:sz w:val="20"/>
                <w:szCs w:val="20"/>
              </w:rPr>
            </w:pP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Petitions for Global Problems</w:t>
            </w:r>
            <w:r w:rsidR="00DB1E2C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- </w:t>
            </w:r>
            <w:r w:rsidR="00162D59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All students 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>will be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assigned </w:t>
            </w:r>
            <w:r w:rsidR="00713128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to a 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g</w:t>
            </w:r>
            <w:r w:rsidR="00713128" w:rsidRPr="005D738D">
              <w:rPr>
                <w:rFonts w:ascii="ArialMT" w:hAnsi="ArialMT" w:cs="ArialMT"/>
                <w:iCs/>
                <w:sz w:val="20"/>
                <w:szCs w:val="20"/>
              </w:rPr>
              <w:t>roup</w:t>
            </w:r>
            <w:r w:rsidR="006B26A4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and allowed to choose any problem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that is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relevant to psychology from a global perspective. Students 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>will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then 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be 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asked to create online petitions for their global problem (where they outline the problem and the proposed changes they are making). Each s</w:t>
            </w:r>
            <w:r w:rsidR="006B26A4" w:rsidRPr="005D738D">
              <w:rPr>
                <w:rFonts w:ascii="ArialMT" w:hAnsi="ArialMT" w:cs="ArialMT"/>
                <w:iCs/>
                <w:sz w:val="20"/>
                <w:szCs w:val="20"/>
              </w:rPr>
              <w:t>tudent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then has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to select one person in their lives and share the petition with them </w:t>
            </w:r>
            <w:r w:rsidR="00B76CB9" w:rsidRPr="005D738D">
              <w:rPr>
                <w:rFonts w:ascii="ArialMT" w:hAnsi="ArialMT" w:cs="ArialMT"/>
                <w:iCs/>
                <w:sz w:val="20"/>
                <w:szCs w:val="20"/>
              </w:rPr>
              <w:t>as well as ask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them prompts 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that are 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provided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by the Professor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. Each student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will then wri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te a paper about this experience as well as the petition process in general. Last, all student groups 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>will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present their petitions </w:t>
            </w:r>
            <w:r w:rsidR="00C738CC" w:rsidRPr="005D738D">
              <w:rPr>
                <w:rFonts w:ascii="ArialMT" w:hAnsi="ArialMT" w:cs="ArialMT"/>
                <w:iCs/>
                <w:sz w:val="20"/>
                <w:szCs w:val="20"/>
              </w:rPr>
              <w:t>to the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class.</w:t>
            </w:r>
          </w:p>
          <w:p w:rsidR="005D738D" w:rsidRPr="005D738D" w:rsidRDefault="005D738D" w:rsidP="00DB1E2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1E2C" w:rsidRPr="005D738D" w:rsidRDefault="00DB1E2C" w:rsidP="00DB1E2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D738D">
              <w:rPr>
                <w:rFonts w:ascii="ArialMT" w:hAnsi="ArialMT" w:cs="ArialMT"/>
                <w:sz w:val="20"/>
                <w:szCs w:val="20"/>
              </w:rPr>
              <w:t>Evaluation Process:</w:t>
            </w:r>
          </w:p>
          <w:p w:rsidR="00040B65" w:rsidRPr="005D738D" w:rsidRDefault="00040B65" w:rsidP="00DB1E2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iCs/>
                <w:sz w:val="20"/>
                <w:szCs w:val="20"/>
              </w:rPr>
            </w:pP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R</w:t>
            </w:r>
            <w:r w:rsidR="00D452D5" w:rsidRPr="005D738D">
              <w:rPr>
                <w:rFonts w:ascii="ArialMT" w:hAnsi="ArialMT" w:cs="ArialMT"/>
                <w:iCs/>
                <w:sz w:val="20"/>
                <w:szCs w:val="20"/>
              </w:rPr>
              <w:t>ubric/guidelines will be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provided. </w:t>
            </w:r>
          </w:p>
          <w:p w:rsidR="005D738D" w:rsidRPr="005D738D" w:rsidRDefault="005D738D" w:rsidP="00DB1E2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DB1E2C" w:rsidRPr="005D738D" w:rsidRDefault="00DB1E2C" w:rsidP="00DB1E2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D738D">
              <w:rPr>
                <w:rFonts w:ascii="ArialMT" w:hAnsi="ArialMT" w:cs="ArialMT"/>
                <w:sz w:val="20"/>
                <w:szCs w:val="20"/>
              </w:rPr>
              <w:t>Minimum Criteria for Success:</w:t>
            </w:r>
          </w:p>
          <w:p w:rsidR="00040B65" w:rsidRPr="005D738D" w:rsidRDefault="00D452D5" w:rsidP="00040B6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iCs/>
                <w:sz w:val="20"/>
                <w:szCs w:val="20"/>
              </w:rPr>
            </w:pP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Every student has</w:t>
            </w:r>
            <w:r w:rsidR="00040B65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to 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be </w:t>
            </w:r>
            <w:r w:rsidR="00040B65" w:rsidRPr="005D738D">
              <w:rPr>
                <w:rFonts w:ascii="ArialMT" w:hAnsi="ArialMT" w:cs="ArialMT"/>
                <w:iCs/>
                <w:sz w:val="20"/>
                <w:szCs w:val="20"/>
              </w:rPr>
              <w:t>active in making the petition, interview</w:t>
            </w:r>
            <w:r w:rsidRPr="005D738D">
              <w:rPr>
                <w:rFonts w:ascii="ArialMT" w:hAnsi="ArialMT" w:cs="ArialMT"/>
                <w:iCs/>
                <w:sz w:val="20"/>
                <w:szCs w:val="20"/>
              </w:rPr>
              <w:t>ing</w:t>
            </w:r>
            <w:r w:rsidR="00040B65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their own person, and be present for their group presentations.</w:t>
            </w:r>
            <w:r w:rsidR="005D738D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 </w:t>
            </w:r>
            <w:r w:rsidR="00040B65" w:rsidRPr="005D738D">
              <w:rPr>
                <w:rFonts w:ascii="ArialMT" w:hAnsi="ArialMT" w:cs="ArialMT"/>
                <w:iCs/>
                <w:sz w:val="20"/>
                <w:szCs w:val="20"/>
              </w:rPr>
              <w:t xml:space="preserve">Students </w:t>
            </w:r>
            <w:r w:rsidR="00040B65" w:rsidRPr="005D738D">
              <w:rPr>
                <w:sz w:val="20"/>
              </w:rPr>
              <w:t>must meet 60% of these guidelines to pass.</w:t>
            </w:r>
          </w:p>
          <w:p w:rsidR="00DB1E2C" w:rsidRDefault="00DB1E2C" w:rsidP="00DB1E2C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5D738D" w:rsidRPr="005D738D" w:rsidRDefault="005D738D" w:rsidP="00DB1E2C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E06F48" w:rsidRPr="005D738D" w:rsidRDefault="00DB1E2C" w:rsidP="00DB1E2C">
            <w:pPr>
              <w:rPr>
                <w:color w:val="0070C0"/>
                <w:sz w:val="20"/>
              </w:rPr>
            </w:pPr>
            <w:r w:rsidRPr="005D738D">
              <w:rPr>
                <w:rFonts w:ascii="ArialMT" w:hAnsi="ArialMT" w:cs="ArialMT"/>
                <w:sz w:val="20"/>
                <w:szCs w:val="20"/>
              </w:rPr>
              <w:t>Sample: All students will be assessed.</w:t>
            </w:r>
          </w:p>
          <w:p w:rsidR="00DB1E2C" w:rsidRPr="00A80501" w:rsidRDefault="00DB1E2C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381" w:type="dxa"/>
            <w:vMerge w:val="restart"/>
          </w:tcPr>
          <w:p w:rsidR="005D738D" w:rsidRPr="005D738D" w:rsidRDefault="005D738D" w:rsidP="005D738D">
            <w:pPr>
              <w:rPr>
                <w:i/>
                <w:color w:val="4F81BD" w:themeColor="accent1"/>
                <w:sz w:val="22"/>
              </w:rPr>
            </w:pPr>
            <w:r>
              <w:rPr>
                <w:i/>
                <w:color w:val="4F81BD" w:themeColor="accent1"/>
                <w:sz w:val="22"/>
              </w:rPr>
              <w:t>To be entered after each time course is taught</w:t>
            </w:r>
          </w:p>
          <w:p w:rsidR="00E06F48" w:rsidRPr="003D281E" w:rsidRDefault="00E06F48" w:rsidP="00FA57DD">
            <w:pPr>
              <w:rPr>
                <w:sz w:val="22"/>
              </w:rPr>
            </w:pPr>
          </w:p>
        </w:tc>
      </w:tr>
      <w:tr w:rsidR="00E06F48" w:rsidRPr="00F632F6" w:rsidTr="005D738D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305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381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:rsidTr="005D738D">
        <w:trPr>
          <w:trHeight w:val="2393"/>
        </w:trPr>
        <w:tc>
          <w:tcPr>
            <w:tcW w:w="4145" w:type="dxa"/>
          </w:tcPr>
          <w:p w:rsidR="00E06F48" w:rsidRPr="00DB1E2C" w:rsidRDefault="00DB1E2C" w:rsidP="00DB1E2C">
            <w:pPr>
              <w:widowControl w:val="0"/>
              <w:autoSpaceDE w:val="0"/>
              <w:autoSpaceDN w:val="0"/>
              <w:adjustRightInd w:val="0"/>
              <w:rPr>
                <w:rFonts w:ascii="Arial-ItalicMT" w:hAnsi="Arial-ItalicMT" w:cs="Arial-ItalicMT"/>
                <w:iCs/>
                <w:sz w:val="20"/>
                <w:szCs w:val="20"/>
              </w:rPr>
            </w:pPr>
            <w:r w:rsidRPr="00DB1E2C">
              <w:rPr>
                <w:rFonts w:ascii="Arial-ItalicMT" w:hAnsi="Arial-ItalicMT" w:cs="Arial-ItalicMT"/>
                <w:iCs/>
                <w:sz w:val="20"/>
                <w:szCs w:val="20"/>
              </w:rPr>
              <w:t>Students will be able to provide evidence of engagement in local, global, international, and intercultural problem solving using psychological theories and methodologies.</w:t>
            </w:r>
          </w:p>
        </w:tc>
        <w:tc>
          <w:tcPr>
            <w:tcW w:w="5305" w:type="dxa"/>
            <w:gridSpan w:val="2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381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4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4"/>
          </w:tcPr>
          <w:p w:rsidR="00E06F48" w:rsidRPr="005D738D" w:rsidRDefault="005D738D" w:rsidP="00DE1651">
            <w:pPr>
              <w:rPr>
                <w:i/>
                <w:color w:val="4F81BD" w:themeColor="accent1"/>
                <w:sz w:val="22"/>
              </w:rPr>
            </w:pPr>
            <w:r>
              <w:rPr>
                <w:i/>
                <w:color w:val="4F81BD" w:themeColor="accent1"/>
                <w:sz w:val="22"/>
              </w:rPr>
              <w:t>To be entered after each time course is taught</w:t>
            </w:r>
            <w:bookmarkStart w:id="0" w:name="_GoBack"/>
            <w:bookmarkEnd w:id="0"/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12"/>
      <w:footerReference w:type="even" r:id="rId13"/>
      <w:footerReference w:type="default" r:id="rId14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B" w:rsidRDefault="001A6D5B">
      <w:r>
        <w:separator/>
      </w:r>
    </w:p>
  </w:endnote>
  <w:endnote w:type="continuationSeparator" w:id="0">
    <w:p w:rsidR="001A6D5B" w:rsidRDefault="001A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Default="00133DDC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21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Pr="00795F81" w:rsidRDefault="00133DDC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7821C4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D738D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7821C4" w:rsidRPr="007D21C5" w:rsidRDefault="00F209C2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1.7.14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B" w:rsidRDefault="001A6D5B">
      <w:r>
        <w:separator/>
      </w:r>
    </w:p>
  </w:footnote>
  <w:footnote w:type="continuationSeparator" w:id="0">
    <w:p w:rsidR="001A6D5B" w:rsidRDefault="001A6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72DCA3B0" wp14:editId="15808ADB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:rsidR="00FD3E31" w:rsidRPr="00FD3E31" w:rsidRDefault="00FD3E31" w:rsidP="00581F94">
    <w:pPr>
      <w:rPr>
        <w:b/>
        <w:sz w:val="16"/>
        <w:szCs w:val="16"/>
      </w:rPr>
    </w:pPr>
  </w:p>
  <w:p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F209C2">
      <w:rPr>
        <w:sz w:val="20"/>
      </w:rPr>
      <w:t xml:space="preserve"> </w:t>
    </w:r>
    <w:r w:rsidR="005D738D">
      <w:rPr>
        <w:sz w:val="20"/>
      </w:rPr>
      <w:t xml:space="preserve"> </w:t>
    </w:r>
  </w:p>
  <w:p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DB1E2C" w:rsidRPr="00DB1E2C">
      <w:rPr>
        <w:sz w:val="20"/>
      </w:rPr>
      <w:t>SOP 4731, Global Psychology</w:t>
    </w:r>
    <w:r w:rsidRPr="00DB1E2C">
      <w:rPr>
        <w:sz w:val="20"/>
      </w:rPr>
      <w:tab/>
    </w:r>
  </w:p>
  <w:p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DB1E2C">
      <w:rPr>
        <w:sz w:val="20"/>
      </w:rPr>
      <w:t>Psychology</w:t>
    </w:r>
    <w:r w:rsidR="005D738D">
      <w:rPr>
        <w:sz w:val="20"/>
      </w:rPr>
      <w:tab/>
    </w:r>
    <w:r w:rsidR="005D738D">
      <w:rPr>
        <w:sz w:val="20"/>
      </w:rPr>
      <w:tab/>
    </w:r>
    <w:r w:rsidR="005D738D">
      <w:rPr>
        <w:sz w:val="20"/>
      </w:rPr>
      <w:tab/>
    </w:r>
    <w:r w:rsidR="005D738D">
      <w:rPr>
        <w:sz w:val="20"/>
      </w:rPr>
      <w:tab/>
    </w:r>
    <w:r>
      <w:rPr>
        <w:sz w:val="20"/>
      </w:rPr>
      <w:t>Degree Program:</w:t>
    </w:r>
    <w:r w:rsidR="00DB1E2C">
      <w:rPr>
        <w:sz w:val="20"/>
      </w:rPr>
      <w:t xml:space="preserve"> B.A. Psychology</w:t>
    </w:r>
    <w:r w:rsidR="00DB1E2C">
      <w:rPr>
        <w:sz w:val="20"/>
      </w:rPr>
      <w:tab/>
    </w:r>
    <w:r w:rsidR="00DB1E2C">
      <w:rPr>
        <w:sz w:val="20"/>
      </w:rPr>
      <w:tab/>
    </w:r>
    <w:r w:rsidR="00DB1E2C">
      <w:rPr>
        <w:sz w:val="20"/>
      </w:rPr>
      <w:tab/>
    </w:r>
    <w:r>
      <w:rPr>
        <w:sz w:val="20"/>
      </w:rPr>
      <w:t>Semester Assessed:</w:t>
    </w:r>
    <w:r w:rsidR="00F209C2">
      <w:rPr>
        <w:sz w:val="20"/>
      </w:rPr>
      <w:t xml:space="preserve"> </w:t>
    </w:r>
    <w:r w:rsidR="005D738D">
      <w:rPr>
        <w:sz w:val="20"/>
      </w:rPr>
      <w:t xml:space="preserve"> 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40B65"/>
    <w:rsid w:val="00082E77"/>
    <w:rsid w:val="000A79B0"/>
    <w:rsid w:val="000C4B42"/>
    <w:rsid w:val="00133DDC"/>
    <w:rsid w:val="00147CC6"/>
    <w:rsid w:val="00162D59"/>
    <w:rsid w:val="001A6D5B"/>
    <w:rsid w:val="001E1E68"/>
    <w:rsid w:val="001F4799"/>
    <w:rsid w:val="002434C6"/>
    <w:rsid w:val="00343738"/>
    <w:rsid w:val="00345845"/>
    <w:rsid w:val="00351663"/>
    <w:rsid w:val="003A4E87"/>
    <w:rsid w:val="003E132D"/>
    <w:rsid w:val="003F3DB7"/>
    <w:rsid w:val="00445D50"/>
    <w:rsid w:val="00467DFF"/>
    <w:rsid w:val="004C2D68"/>
    <w:rsid w:val="00521FFD"/>
    <w:rsid w:val="00581F94"/>
    <w:rsid w:val="005C58EB"/>
    <w:rsid w:val="005D738D"/>
    <w:rsid w:val="0062600D"/>
    <w:rsid w:val="0064662E"/>
    <w:rsid w:val="006A06CE"/>
    <w:rsid w:val="006B26A4"/>
    <w:rsid w:val="006B5B29"/>
    <w:rsid w:val="006F77DC"/>
    <w:rsid w:val="00713128"/>
    <w:rsid w:val="007505D0"/>
    <w:rsid w:val="00754EFD"/>
    <w:rsid w:val="007821C4"/>
    <w:rsid w:val="00795F81"/>
    <w:rsid w:val="007D21C5"/>
    <w:rsid w:val="008E2DC9"/>
    <w:rsid w:val="009041CD"/>
    <w:rsid w:val="00943D59"/>
    <w:rsid w:val="009A43ED"/>
    <w:rsid w:val="009D01BF"/>
    <w:rsid w:val="00A165F4"/>
    <w:rsid w:val="00B3015F"/>
    <w:rsid w:val="00B41437"/>
    <w:rsid w:val="00B76CB9"/>
    <w:rsid w:val="00B95595"/>
    <w:rsid w:val="00C03B6B"/>
    <w:rsid w:val="00C738CC"/>
    <w:rsid w:val="00C85AD3"/>
    <w:rsid w:val="00CA31DD"/>
    <w:rsid w:val="00CA44F8"/>
    <w:rsid w:val="00CD1399"/>
    <w:rsid w:val="00D452D5"/>
    <w:rsid w:val="00D46EE4"/>
    <w:rsid w:val="00D61DCB"/>
    <w:rsid w:val="00D752D6"/>
    <w:rsid w:val="00DA5804"/>
    <w:rsid w:val="00DB1E2C"/>
    <w:rsid w:val="00DC61D0"/>
    <w:rsid w:val="00DE1651"/>
    <w:rsid w:val="00E06F48"/>
    <w:rsid w:val="00E6631C"/>
    <w:rsid w:val="00F209C2"/>
    <w:rsid w:val="00F45ECC"/>
    <w:rsid w:val="00FA57DD"/>
    <w:rsid w:val="00FD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AB54590F0D14F816DD32F93ECB66A" ma:contentTypeVersion="0" ma:contentTypeDescription="Create a new document." ma:contentTypeScope="" ma:versionID="7cfc1a2e6fdf11d287718f899b88e2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A03C4C-AC07-48CF-8F64-4A5B5C88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35D06-9390-4356-B7F1-C4E041C3A6F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E8B7B52-3AAB-4272-A2D3-4D9B08EAE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27313-A3D4-49F3-B752-B62A365FDC4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3124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2016-09-20T16:56:00Z</dcterms:created>
  <dcterms:modified xsi:type="dcterms:W3CDTF">2016-09-20T16:56:00Z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0x010100E27AB54590F0D14F816DD32F93ECB66A</vt:lpwstr>
  </property>
</Properties>
</file>