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4BA53B38" w:rsidR="00E06F48" w:rsidRDefault="00E06F48" w:rsidP="00351663">
            <w:pPr>
              <w:rPr>
                <w:sz w:val="20"/>
              </w:rPr>
            </w:pPr>
            <w:r w:rsidRPr="00905CCE">
              <w:rPr>
                <w:sz w:val="20"/>
              </w:rPr>
              <w:t>Assessment Activity/Artifact:</w:t>
            </w:r>
          </w:p>
          <w:p w14:paraId="1CDDC2EA" w14:textId="364A3A14" w:rsidR="005730D6" w:rsidRDefault="005730D6" w:rsidP="00351663">
            <w:pPr>
              <w:rPr>
                <w:sz w:val="20"/>
              </w:rPr>
            </w:pPr>
            <w:r>
              <w:rPr>
                <w:sz w:val="20"/>
              </w:rPr>
              <w:t>Take-home essay exam; topic:</w:t>
            </w:r>
          </w:p>
          <w:p w14:paraId="58A2EFD3" w14:textId="48A2432D" w:rsidR="005730D6" w:rsidRPr="00905CCE" w:rsidRDefault="005730D6" w:rsidP="00351663">
            <w:pPr>
              <w:rPr>
                <w:sz w:val="20"/>
              </w:rPr>
            </w:pPr>
            <w:r w:rsidRPr="005730D6">
              <w:rPr>
                <w:sz w:val="20"/>
              </w:rPr>
              <w:t>What is the “Jewish Question,” and when did it originate? Comprehensively discuss how and why societies throughout history, up to but not including the Nazi era, have sought to “answer” this question.</w:t>
            </w:r>
          </w:p>
          <w:p w14:paraId="7F0D8583" w14:textId="77777777" w:rsidR="00E06F48" w:rsidRDefault="00E06F48" w:rsidP="00351663">
            <w:pPr>
              <w:rPr>
                <w:i/>
                <w:color w:val="0070C0"/>
                <w:sz w:val="20"/>
              </w:rPr>
            </w:pPr>
          </w:p>
          <w:p w14:paraId="44C7ED19" w14:textId="77777777" w:rsidR="00E06F48" w:rsidRDefault="00E06F48" w:rsidP="00351663">
            <w:pPr>
              <w:rPr>
                <w:i/>
                <w:color w:val="0070C0"/>
                <w:sz w:val="20"/>
              </w:rPr>
            </w:pPr>
          </w:p>
          <w:p w14:paraId="78B32C0B" w14:textId="2B99BF59" w:rsidR="00E06F48" w:rsidRDefault="00E06F48" w:rsidP="00351663">
            <w:pPr>
              <w:rPr>
                <w:sz w:val="20"/>
              </w:rPr>
            </w:pPr>
          </w:p>
          <w:p w14:paraId="0CAD9397" w14:textId="77777777" w:rsidR="00E06F48" w:rsidRPr="00905CCE" w:rsidRDefault="00E06F48" w:rsidP="00351663">
            <w:pPr>
              <w:rPr>
                <w:sz w:val="20"/>
              </w:rPr>
            </w:pPr>
            <w:bookmarkStart w:id="0" w:name="_GoBack"/>
            <w:bookmarkEnd w:id="0"/>
          </w:p>
          <w:p w14:paraId="7A03C96A" w14:textId="77777777" w:rsidR="00E06F48" w:rsidRPr="00905CCE" w:rsidRDefault="00E06F48" w:rsidP="00351663">
            <w:pPr>
              <w:rPr>
                <w:sz w:val="20"/>
              </w:rPr>
            </w:pPr>
            <w:r w:rsidRPr="00905CCE">
              <w:rPr>
                <w:sz w:val="20"/>
              </w:rPr>
              <w:t>Evaluation Process:</w:t>
            </w:r>
          </w:p>
          <w:p w14:paraId="058D4F1F" w14:textId="4CD6ADA2" w:rsidR="00E06F48" w:rsidRDefault="005730D6" w:rsidP="00351663">
            <w:pPr>
              <w:rPr>
                <w:sz w:val="20"/>
              </w:rPr>
            </w:pPr>
            <w:r>
              <w:rPr>
                <w:sz w:val="20"/>
              </w:rPr>
              <w:t>Grading Rubric</w:t>
            </w:r>
          </w:p>
          <w:p w14:paraId="1920FB8E" w14:textId="77777777" w:rsidR="00E06F48" w:rsidRDefault="00E06F48" w:rsidP="00351663">
            <w:pPr>
              <w:rPr>
                <w:sz w:val="20"/>
              </w:rPr>
            </w:pPr>
          </w:p>
          <w:p w14:paraId="215F3F45" w14:textId="77777777" w:rsidR="00E06F48" w:rsidRDefault="00E06F48" w:rsidP="00351663">
            <w:pPr>
              <w:rPr>
                <w:sz w:val="20"/>
              </w:rPr>
            </w:pPr>
          </w:p>
          <w:p w14:paraId="5E0AF4E2" w14:textId="77777777" w:rsidR="00E06F48" w:rsidRDefault="00E06F48" w:rsidP="00351663">
            <w:pPr>
              <w:rPr>
                <w:sz w:val="20"/>
              </w:rPr>
            </w:pPr>
          </w:p>
          <w:p w14:paraId="46C02B30" w14:textId="676F846F" w:rsidR="00E06F48" w:rsidRDefault="00E06F48" w:rsidP="00351663">
            <w:pPr>
              <w:rPr>
                <w:sz w:val="20"/>
              </w:rPr>
            </w:pPr>
            <w:r w:rsidRPr="00905CCE">
              <w:rPr>
                <w:sz w:val="20"/>
              </w:rPr>
              <w:t>Minimum Criteria for Success:</w:t>
            </w:r>
          </w:p>
          <w:p w14:paraId="3C388F1C" w14:textId="2D9E95C2" w:rsidR="005730D6" w:rsidRPr="005730D6" w:rsidRDefault="005730D6" w:rsidP="00351663">
            <w:pPr>
              <w:rPr>
                <w:sz w:val="20"/>
              </w:rPr>
            </w:pPr>
            <w:r>
              <w:rPr>
                <w:sz w:val="20"/>
              </w:rPr>
              <w:t>70% or greater</w:t>
            </w:r>
          </w:p>
          <w:p w14:paraId="070DB9F6" w14:textId="5EB957D6" w:rsidR="00E06F48" w:rsidRDefault="00E06F48" w:rsidP="00351663">
            <w:pPr>
              <w:rPr>
                <w:i/>
                <w:color w:val="0070C0"/>
                <w:sz w:val="20"/>
              </w:rPr>
            </w:pPr>
          </w:p>
          <w:p w14:paraId="34A3C146" w14:textId="77777777" w:rsidR="00E06F48" w:rsidRDefault="00E06F48" w:rsidP="00351663">
            <w:pPr>
              <w:rPr>
                <w:i/>
                <w:color w:val="0070C0"/>
                <w:sz w:val="20"/>
              </w:rPr>
            </w:pPr>
          </w:p>
          <w:p w14:paraId="093A6908" w14:textId="77777777" w:rsidR="00E06F48" w:rsidRDefault="00E06F48" w:rsidP="00351663">
            <w:pPr>
              <w:rPr>
                <w:sz w:val="20"/>
              </w:rPr>
            </w:pPr>
            <w:r>
              <w:rPr>
                <w:sz w:val="20"/>
              </w:rPr>
              <w:t>Sample:</w:t>
            </w:r>
          </w:p>
          <w:p w14:paraId="20DC2024" w14:textId="1F7DF244" w:rsidR="00E06F48" w:rsidRPr="005730D6" w:rsidRDefault="005730D6" w:rsidP="00351663">
            <w:pPr>
              <w:rPr>
                <w:color w:val="000000" w:themeColor="text1"/>
                <w:sz w:val="22"/>
              </w:rPr>
            </w:pPr>
            <w:r w:rsidRPr="005730D6">
              <w:rPr>
                <w:color w:val="000000" w:themeColor="text1"/>
                <w:sz w:val="22"/>
              </w:rPr>
              <w:t>All students will be assessed.</w:t>
            </w:r>
          </w:p>
          <w:p w14:paraId="37C9BC73" w14:textId="77777777" w:rsidR="00E06F48" w:rsidRDefault="00E06F48" w:rsidP="00351663">
            <w:pPr>
              <w:rPr>
                <w:i/>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43736F84" w:rsidR="00E06F48" w:rsidRPr="005A30D4" w:rsidRDefault="00215A8B" w:rsidP="00351663">
            <w:pPr>
              <w:rPr>
                <w:color w:val="000000" w:themeColor="text1"/>
                <w:sz w:val="20"/>
              </w:rPr>
            </w:pPr>
            <w:r w:rsidRPr="005A30D4">
              <w:rPr>
                <w:color w:val="000000" w:themeColor="text1"/>
                <w:sz w:val="20"/>
              </w:rPr>
              <w:t>Students will be able to identify the complex interconnections among historical, religious, social, political, and cultural factors that led to the Holocaust.</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7560"/>
        <w:gridCol w:w="2594"/>
      </w:tblGrid>
      <w:tr w:rsidR="00E06F48" w:rsidRPr="00F632F6" w14:paraId="10BBA699" w14:textId="77777777" w:rsidTr="003A00EA">
        <w:trPr>
          <w:trHeight w:val="305"/>
          <w:tblHeader/>
        </w:trPr>
        <w:tc>
          <w:tcPr>
            <w:tcW w:w="2677"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756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59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3A00EA">
        <w:trPr>
          <w:trHeight w:val="1140"/>
        </w:trPr>
        <w:tc>
          <w:tcPr>
            <w:tcW w:w="2677"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7560" w:type="dxa"/>
            <w:vMerge w:val="restart"/>
          </w:tcPr>
          <w:p w14:paraId="4E8B5A15" w14:textId="12559624" w:rsidR="00E06F48" w:rsidRPr="003A00EA" w:rsidRDefault="00E06F48" w:rsidP="00351663">
            <w:pPr>
              <w:rPr>
                <w:sz w:val="18"/>
                <w:szCs w:val="18"/>
              </w:rPr>
            </w:pPr>
            <w:r w:rsidRPr="003A00EA">
              <w:rPr>
                <w:sz w:val="18"/>
                <w:szCs w:val="18"/>
              </w:rPr>
              <w:t>Assessment Activity/Artifact:</w:t>
            </w:r>
          </w:p>
          <w:p w14:paraId="786DAA1B" w14:textId="7A8785E2" w:rsidR="001A6893" w:rsidRPr="003A00EA" w:rsidRDefault="001A6893" w:rsidP="001A6893">
            <w:pPr>
              <w:pStyle w:val="ListParagraph"/>
              <w:numPr>
                <w:ilvl w:val="0"/>
                <w:numId w:val="10"/>
              </w:numPr>
              <w:ind w:left="698"/>
              <w:rPr>
                <w:sz w:val="18"/>
                <w:szCs w:val="18"/>
              </w:rPr>
            </w:pPr>
            <w:r w:rsidRPr="003A00EA">
              <w:rPr>
                <w:sz w:val="18"/>
                <w:szCs w:val="18"/>
              </w:rPr>
              <w:t>Pre-essay online dialogue</w:t>
            </w:r>
          </w:p>
          <w:p w14:paraId="3C281A2D" w14:textId="09935CE9" w:rsidR="001A6893" w:rsidRPr="003A00EA" w:rsidRDefault="001A6893" w:rsidP="001A6893">
            <w:pPr>
              <w:pStyle w:val="ListParagraph"/>
              <w:numPr>
                <w:ilvl w:val="0"/>
                <w:numId w:val="10"/>
              </w:numPr>
              <w:ind w:left="698"/>
              <w:rPr>
                <w:sz w:val="18"/>
                <w:szCs w:val="18"/>
              </w:rPr>
            </w:pPr>
            <w:r w:rsidRPr="003A00EA">
              <w:rPr>
                <w:sz w:val="18"/>
                <w:szCs w:val="18"/>
              </w:rPr>
              <w:t>Comparative Essay Assignment; topic:</w:t>
            </w:r>
          </w:p>
          <w:p w14:paraId="06881EBD" w14:textId="77777777" w:rsidR="001A6893" w:rsidRPr="003A00EA" w:rsidRDefault="001A6893" w:rsidP="001A6893">
            <w:pPr>
              <w:ind w:left="-44"/>
              <w:rPr>
                <w:sz w:val="18"/>
                <w:szCs w:val="18"/>
              </w:rPr>
            </w:pPr>
            <w:r w:rsidRPr="003A00EA">
              <w:rPr>
                <w:sz w:val="18"/>
                <w:szCs w:val="18"/>
              </w:rPr>
              <w:t xml:space="preserve">It could be said that, at heart, the story of the “Final Solution” to the Jewish Question is the story of a total breakdown in the realm of human relationships and the ethics governing those relationships.  Please assess this claim through a comparative analysis of both assigned course texts by Wiesel and Levi, specifically considering the following questions:  </w:t>
            </w:r>
          </w:p>
          <w:p w14:paraId="2F0FF8BA" w14:textId="77777777" w:rsidR="001A6893" w:rsidRPr="003A00EA" w:rsidRDefault="001A6893" w:rsidP="001A6893">
            <w:pPr>
              <w:numPr>
                <w:ilvl w:val="0"/>
                <w:numId w:val="11"/>
              </w:numPr>
              <w:ind w:left="338"/>
              <w:rPr>
                <w:sz w:val="18"/>
                <w:szCs w:val="18"/>
              </w:rPr>
            </w:pPr>
            <w:r w:rsidRPr="003A00EA">
              <w:rPr>
                <w:sz w:val="18"/>
                <w:szCs w:val="18"/>
              </w:rPr>
              <w:t xml:space="preserve">What does the author say about this breakdown?  </w:t>
            </w:r>
          </w:p>
          <w:p w14:paraId="12C5B6AA" w14:textId="77777777" w:rsidR="001A6893" w:rsidRPr="003A00EA" w:rsidRDefault="001A6893" w:rsidP="001A6893">
            <w:pPr>
              <w:numPr>
                <w:ilvl w:val="0"/>
                <w:numId w:val="11"/>
              </w:numPr>
              <w:ind w:left="338"/>
              <w:rPr>
                <w:sz w:val="18"/>
                <w:szCs w:val="18"/>
              </w:rPr>
            </w:pPr>
            <w:r w:rsidRPr="003A00EA">
              <w:rPr>
                <w:sz w:val="18"/>
                <w:szCs w:val="18"/>
              </w:rPr>
              <w:t xml:space="preserve">What are the key narrative moments that mark this breakdown?  </w:t>
            </w:r>
          </w:p>
          <w:p w14:paraId="45FD48FC" w14:textId="77777777" w:rsidR="001A6893" w:rsidRPr="003A00EA" w:rsidRDefault="001A6893" w:rsidP="001A6893">
            <w:pPr>
              <w:numPr>
                <w:ilvl w:val="0"/>
                <w:numId w:val="11"/>
              </w:numPr>
              <w:ind w:left="338"/>
              <w:rPr>
                <w:sz w:val="18"/>
                <w:szCs w:val="18"/>
              </w:rPr>
            </w:pPr>
            <w:r w:rsidRPr="003A00EA">
              <w:rPr>
                <w:sz w:val="18"/>
                <w:szCs w:val="18"/>
              </w:rPr>
              <w:t xml:space="preserve">Were there relationships that survived this breakdown, and, if so, how does the author and how would you describe them and their value?  </w:t>
            </w:r>
          </w:p>
          <w:p w14:paraId="5C0A0ECC" w14:textId="66D009AF" w:rsidR="00E06F48" w:rsidRPr="003A00EA" w:rsidRDefault="001A6893" w:rsidP="00351663">
            <w:pPr>
              <w:rPr>
                <w:sz w:val="18"/>
                <w:szCs w:val="18"/>
              </w:rPr>
            </w:pPr>
            <w:r w:rsidRPr="003A00EA">
              <w:rPr>
                <w:sz w:val="18"/>
                <w:szCs w:val="18"/>
              </w:rPr>
              <w:t xml:space="preserve">It is important that your answer address both </w:t>
            </w:r>
            <w:r w:rsidRPr="003A00EA">
              <w:rPr>
                <w:b/>
                <w:sz w:val="18"/>
                <w:szCs w:val="18"/>
              </w:rPr>
              <w:t>perpetrator</w:t>
            </w:r>
            <w:r w:rsidRPr="003A00EA">
              <w:rPr>
                <w:sz w:val="18"/>
                <w:szCs w:val="18"/>
              </w:rPr>
              <w:t xml:space="preserve"> and </w:t>
            </w:r>
            <w:r w:rsidRPr="003A00EA">
              <w:rPr>
                <w:b/>
                <w:sz w:val="18"/>
                <w:szCs w:val="18"/>
              </w:rPr>
              <w:t>victim</w:t>
            </w:r>
            <w:r w:rsidRPr="003A00EA">
              <w:rPr>
                <w:sz w:val="18"/>
                <w:szCs w:val="18"/>
              </w:rPr>
              <w:t xml:space="preserve"> perspectives on/experiences of the Holocaust.  While your answer should primarily utilize the books by Wiesel and Levi, you may refer directly and explicitly, </w:t>
            </w:r>
            <w:r w:rsidRPr="003A00EA">
              <w:rPr>
                <w:i/>
                <w:sz w:val="18"/>
                <w:szCs w:val="18"/>
              </w:rPr>
              <w:t>with proper citation</w:t>
            </w:r>
            <w:r w:rsidRPr="003A00EA">
              <w:rPr>
                <w:sz w:val="18"/>
                <w:szCs w:val="18"/>
              </w:rPr>
              <w:t>, to secondary sources such as Rubenstein &amp; Roth and/or class lectures, as well as to other primary sources such as those found in Hochstadt.</w:t>
            </w:r>
          </w:p>
          <w:p w14:paraId="08E69090" w14:textId="77777777" w:rsidR="00E06F48" w:rsidRPr="003A00EA" w:rsidRDefault="00E06F48" w:rsidP="00351663">
            <w:pPr>
              <w:rPr>
                <w:sz w:val="18"/>
                <w:szCs w:val="18"/>
              </w:rPr>
            </w:pPr>
          </w:p>
          <w:p w14:paraId="10449FBC" w14:textId="77777777" w:rsidR="00E06F48" w:rsidRPr="003A00EA" w:rsidRDefault="00E06F48" w:rsidP="00351663">
            <w:pPr>
              <w:rPr>
                <w:sz w:val="18"/>
                <w:szCs w:val="18"/>
              </w:rPr>
            </w:pPr>
            <w:r w:rsidRPr="003A00EA">
              <w:rPr>
                <w:sz w:val="18"/>
                <w:szCs w:val="18"/>
              </w:rPr>
              <w:t>Evaluation Process:</w:t>
            </w:r>
          </w:p>
          <w:p w14:paraId="1E08C282" w14:textId="77777777" w:rsidR="001A6893" w:rsidRPr="003A00EA" w:rsidRDefault="001A6893" w:rsidP="001A6893">
            <w:pPr>
              <w:pStyle w:val="ListParagraph"/>
              <w:numPr>
                <w:ilvl w:val="0"/>
                <w:numId w:val="12"/>
              </w:numPr>
              <w:rPr>
                <w:sz w:val="18"/>
                <w:szCs w:val="18"/>
              </w:rPr>
            </w:pPr>
            <w:r w:rsidRPr="003A00EA">
              <w:rPr>
                <w:sz w:val="18"/>
                <w:szCs w:val="18"/>
              </w:rPr>
              <w:t>Observation</w:t>
            </w:r>
          </w:p>
          <w:p w14:paraId="33B0A459" w14:textId="6E552A09" w:rsidR="00E06F48" w:rsidRPr="003A00EA" w:rsidRDefault="001A6893" w:rsidP="001A6893">
            <w:pPr>
              <w:pStyle w:val="ListParagraph"/>
              <w:numPr>
                <w:ilvl w:val="0"/>
                <w:numId w:val="12"/>
              </w:numPr>
              <w:rPr>
                <w:sz w:val="18"/>
                <w:szCs w:val="18"/>
              </w:rPr>
            </w:pPr>
            <w:r w:rsidRPr="003A00EA">
              <w:rPr>
                <w:sz w:val="18"/>
                <w:szCs w:val="18"/>
              </w:rPr>
              <w:t>Grading Rubric</w:t>
            </w:r>
          </w:p>
          <w:p w14:paraId="48638B58" w14:textId="56107DA7" w:rsidR="00E06F48" w:rsidRPr="003A00EA" w:rsidRDefault="00E06F48" w:rsidP="00351663">
            <w:pPr>
              <w:rPr>
                <w:sz w:val="18"/>
                <w:szCs w:val="18"/>
              </w:rPr>
            </w:pPr>
          </w:p>
          <w:p w14:paraId="2DE590D4" w14:textId="77777777" w:rsidR="00E06F48" w:rsidRPr="003A00EA" w:rsidRDefault="00E06F48" w:rsidP="00351663">
            <w:pPr>
              <w:rPr>
                <w:sz w:val="18"/>
                <w:szCs w:val="18"/>
              </w:rPr>
            </w:pPr>
            <w:r w:rsidRPr="003A00EA">
              <w:rPr>
                <w:sz w:val="18"/>
                <w:szCs w:val="18"/>
              </w:rPr>
              <w:t>Minimum Criteria for Success:</w:t>
            </w:r>
          </w:p>
          <w:p w14:paraId="5AF1D108" w14:textId="2456A9F1" w:rsidR="00E06F48" w:rsidRPr="003A00EA" w:rsidRDefault="001A6893" w:rsidP="001A6893">
            <w:pPr>
              <w:pStyle w:val="ListParagraph"/>
              <w:numPr>
                <w:ilvl w:val="0"/>
                <w:numId w:val="13"/>
              </w:numPr>
              <w:rPr>
                <w:color w:val="000000" w:themeColor="text1"/>
                <w:sz w:val="18"/>
                <w:szCs w:val="18"/>
              </w:rPr>
            </w:pPr>
            <w:r w:rsidRPr="003A00EA">
              <w:rPr>
                <w:color w:val="000000" w:themeColor="text1"/>
                <w:sz w:val="18"/>
                <w:szCs w:val="18"/>
              </w:rPr>
              <w:t>Students will recognize different perspectives in the course of their online dialogue</w:t>
            </w:r>
          </w:p>
          <w:p w14:paraId="2BC24085" w14:textId="453802F5" w:rsidR="001A6893" w:rsidRPr="003A00EA" w:rsidRDefault="001A6893" w:rsidP="001A6893">
            <w:pPr>
              <w:pStyle w:val="ListParagraph"/>
              <w:numPr>
                <w:ilvl w:val="0"/>
                <w:numId w:val="13"/>
              </w:numPr>
              <w:rPr>
                <w:color w:val="000000" w:themeColor="text1"/>
                <w:sz w:val="18"/>
                <w:szCs w:val="18"/>
              </w:rPr>
            </w:pPr>
            <w:r w:rsidRPr="003A00EA">
              <w:rPr>
                <w:color w:val="000000" w:themeColor="text1"/>
                <w:sz w:val="18"/>
                <w:szCs w:val="18"/>
              </w:rPr>
              <w:t>70% or greater</w:t>
            </w:r>
          </w:p>
          <w:p w14:paraId="09ED0CB5" w14:textId="77777777" w:rsidR="00E06F48" w:rsidRPr="003A00EA" w:rsidRDefault="00E06F48" w:rsidP="00351663">
            <w:pPr>
              <w:rPr>
                <w:i/>
                <w:color w:val="000000" w:themeColor="text1"/>
                <w:sz w:val="18"/>
                <w:szCs w:val="18"/>
              </w:rPr>
            </w:pPr>
          </w:p>
          <w:p w14:paraId="61098E28" w14:textId="77777777" w:rsidR="00E06F48" w:rsidRPr="003A00EA" w:rsidRDefault="00E06F48" w:rsidP="00351663">
            <w:pPr>
              <w:rPr>
                <w:sz w:val="18"/>
                <w:szCs w:val="18"/>
              </w:rPr>
            </w:pPr>
            <w:r w:rsidRPr="003A00EA">
              <w:rPr>
                <w:sz w:val="18"/>
                <w:szCs w:val="18"/>
              </w:rPr>
              <w:t>Sample:</w:t>
            </w:r>
          </w:p>
          <w:p w14:paraId="7070809E" w14:textId="79AD8918" w:rsidR="00E06F48" w:rsidRPr="003A00EA" w:rsidRDefault="001A6893" w:rsidP="00351663">
            <w:pPr>
              <w:rPr>
                <w:color w:val="000000" w:themeColor="text1"/>
                <w:sz w:val="18"/>
                <w:szCs w:val="18"/>
              </w:rPr>
            </w:pPr>
            <w:r w:rsidRPr="003A00EA">
              <w:rPr>
                <w:color w:val="000000" w:themeColor="text1"/>
                <w:sz w:val="18"/>
                <w:szCs w:val="18"/>
              </w:rPr>
              <w:t>All students will be assessed.</w:t>
            </w:r>
          </w:p>
          <w:p w14:paraId="27031866" w14:textId="77777777" w:rsidR="00E06F48" w:rsidRPr="00A80501" w:rsidRDefault="00E06F48" w:rsidP="00351663">
            <w:pPr>
              <w:rPr>
                <w:i/>
                <w:color w:val="0070C0"/>
                <w:sz w:val="22"/>
              </w:rPr>
            </w:pPr>
          </w:p>
        </w:tc>
        <w:tc>
          <w:tcPr>
            <w:tcW w:w="259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3A00EA">
        <w:trPr>
          <w:trHeight w:val="260"/>
        </w:trPr>
        <w:tc>
          <w:tcPr>
            <w:tcW w:w="2677" w:type="dxa"/>
          </w:tcPr>
          <w:p w14:paraId="7A7A530C" w14:textId="77777777" w:rsidR="00E06F48" w:rsidRPr="003D281E" w:rsidRDefault="00E06F48" w:rsidP="00351663">
            <w:pPr>
              <w:rPr>
                <w:b/>
                <w:sz w:val="20"/>
              </w:rPr>
            </w:pPr>
            <w:r>
              <w:rPr>
                <w:b/>
                <w:sz w:val="20"/>
              </w:rPr>
              <w:t>Course Learning Outcome</w:t>
            </w:r>
          </w:p>
        </w:tc>
        <w:tc>
          <w:tcPr>
            <w:tcW w:w="7560" w:type="dxa"/>
            <w:vMerge/>
          </w:tcPr>
          <w:p w14:paraId="41D0F97B" w14:textId="77777777" w:rsidR="00E06F48" w:rsidRPr="003D281E" w:rsidRDefault="00E06F48" w:rsidP="00351663">
            <w:pPr>
              <w:rPr>
                <w:sz w:val="22"/>
              </w:rPr>
            </w:pPr>
          </w:p>
        </w:tc>
        <w:tc>
          <w:tcPr>
            <w:tcW w:w="2594" w:type="dxa"/>
            <w:vMerge/>
          </w:tcPr>
          <w:p w14:paraId="08FFC2EC" w14:textId="77777777" w:rsidR="00E06F48" w:rsidRPr="003D281E" w:rsidRDefault="00E06F48" w:rsidP="00351663">
            <w:pPr>
              <w:rPr>
                <w:sz w:val="22"/>
              </w:rPr>
            </w:pPr>
          </w:p>
        </w:tc>
      </w:tr>
      <w:tr w:rsidR="00E06F48" w:rsidRPr="00F632F6" w14:paraId="3523A353" w14:textId="77777777" w:rsidTr="003A00EA">
        <w:trPr>
          <w:trHeight w:val="2393"/>
        </w:trPr>
        <w:tc>
          <w:tcPr>
            <w:tcW w:w="2677" w:type="dxa"/>
          </w:tcPr>
          <w:p w14:paraId="3E541137" w14:textId="6D356F21" w:rsidR="00E06F48" w:rsidRPr="005A30D4" w:rsidRDefault="00C54222" w:rsidP="00351663">
            <w:pPr>
              <w:rPr>
                <w:color w:val="000000" w:themeColor="text1"/>
                <w:sz w:val="20"/>
              </w:rPr>
            </w:pPr>
            <w:r w:rsidRPr="005A30D4">
              <w:rPr>
                <w:color w:val="000000" w:themeColor="text1"/>
                <w:sz w:val="20"/>
              </w:rPr>
              <w:t>Students will be able to analyze from several perspectives the experiences of people involved in the Holocaust.</w:t>
            </w:r>
          </w:p>
        </w:tc>
        <w:tc>
          <w:tcPr>
            <w:tcW w:w="7560" w:type="dxa"/>
            <w:vMerge/>
          </w:tcPr>
          <w:p w14:paraId="3A252DD1" w14:textId="77777777" w:rsidR="00E06F48" w:rsidRPr="003D281E" w:rsidRDefault="00E06F48" w:rsidP="00351663">
            <w:pPr>
              <w:rPr>
                <w:sz w:val="22"/>
              </w:rPr>
            </w:pPr>
          </w:p>
        </w:tc>
        <w:tc>
          <w:tcPr>
            <w:tcW w:w="259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51D870FE" w:rsidR="00E06F48" w:rsidRDefault="00E06F48" w:rsidP="00351663">
            <w:pPr>
              <w:rPr>
                <w:sz w:val="20"/>
              </w:rPr>
            </w:pPr>
            <w:r w:rsidRPr="00905CCE">
              <w:rPr>
                <w:sz w:val="20"/>
              </w:rPr>
              <w:t>Assessment Activity/Artifact:</w:t>
            </w:r>
          </w:p>
          <w:p w14:paraId="77739C95" w14:textId="23D543DA" w:rsidR="003A00EA" w:rsidRPr="00905CCE" w:rsidRDefault="003A00EA" w:rsidP="00351663">
            <w:pPr>
              <w:rPr>
                <w:sz w:val="20"/>
              </w:rPr>
            </w:pPr>
            <w:r>
              <w:rPr>
                <w:sz w:val="20"/>
              </w:rPr>
              <w:t xml:space="preserve">Visual Culture Blog in 3 </w:t>
            </w:r>
            <w:r w:rsidR="0024043B">
              <w:rPr>
                <w:sz w:val="20"/>
              </w:rPr>
              <w:t xml:space="preserve">interactive </w:t>
            </w:r>
            <w:r>
              <w:rPr>
                <w:sz w:val="20"/>
              </w:rPr>
              <w:t>parts (parts 1 &amp; 2 are deductive, in which students post reactions to propaganda images provided; part 3 is inductive, in which students are responsible for identifying and posting contemporary images they relate to the initially provided images</w:t>
            </w:r>
            <w:r w:rsidR="0024043B">
              <w:rPr>
                <w:sz w:val="20"/>
              </w:rPr>
              <w:t xml:space="preserve">; </w:t>
            </w:r>
            <w:r w:rsidR="00422074">
              <w:rPr>
                <w:sz w:val="20"/>
              </w:rPr>
              <w:t>students must also respond to others’ posts in each part</w:t>
            </w:r>
            <w:r>
              <w:rPr>
                <w:sz w:val="20"/>
              </w:rPr>
              <w:t>)</w:t>
            </w:r>
          </w:p>
          <w:p w14:paraId="5D6E7D2E" w14:textId="4798D1C5" w:rsidR="00E06F48" w:rsidRDefault="00E06F48" w:rsidP="00351663">
            <w:pPr>
              <w:rPr>
                <w:sz w:val="20"/>
              </w:rPr>
            </w:pPr>
          </w:p>
          <w:p w14:paraId="4CB448A9" w14:textId="77777777" w:rsidR="00422074" w:rsidRPr="00905CCE" w:rsidRDefault="00422074" w:rsidP="00351663">
            <w:pPr>
              <w:rPr>
                <w:sz w:val="20"/>
              </w:rPr>
            </w:pPr>
          </w:p>
          <w:p w14:paraId="72C538C8" w14:textId="77777777" w:rsidR="00E06F48" w:rsidRPr="00905CCE" w:rsidRDefault="00E06F48" w:rsidP="00351663">
            <w:pPr>
              <w:rPr>
                <w:sz w:val="20"/>
              </w:rPr>
            </w:pPr>
            <w:r w:rsidRPr="00905CCE">
              <w:rPr>
                <w:sz w:val="20"/>
              </w:rPr>
              <w:t>Evaluation Process:</w:t>
            </w:r>
          </w:p>
          <w:p w14:paraId="13204027" w14:textId="5362985E" w:rsidR="00E06F48" w:rsidRPr="00905CCE" w:rsidRDefault="003A00EA" w:rsidP="00351663">
            <w:pPr>
              <w:rPr>
                <w:sz w:val="20"/>
              </w:rPr>
            </w:pPr>
            <w:r>
              <w:rPr>
                <w:sz w:val="20"/>
              </w:rPr>
              <w:t>Grading Rubric</w:t>
            </w:r>
          </w:p>
          <w:p w14:paraId="0AD4D2AF" w14:textId="67B4B6A5" w:rsidR="00E06F48" w:rsidRDefault="00E06F48" w:rsidP="00351663">
            <w:pPr>
              <w:rPr>
                <w:sz w:val="20"/>
              </w:rPr>
            </w:pPr>
          </w:p>
          <w:p w14:paraId="0E1C188B" w14:textId="77777777" w:rsidR="00E06F48" w:rsidRDefault="00E06F48" w:rsidP="00351663">
            <w:pPr>
              <w:rPr>
                <w:sz w:val="20"/>
              </w:rPr>
            </w:pPr>
          </w:p>
          <w:p w14:paraId="66E64B49" w14:textId="664CD263" w:rsidR="00E06F48" w:rsidRDefault="00E06F48" w:rsidP="00351663">
            <w:pPr>
              <w:rPr>
                <w:sz w:val="20"/>
              </w:rPr>
            </w:pPr>
            <w:r w:rsidRPr="00905CCE">
              <w:rPr>
                <w:sz w:val="20"/>
              </w:rPr>
              <w:t>Minimum Criteria for Success:</w:t>
            </w:r>
          </w:p>
          <w:p w14:paraId="2C30135B" w14:textId="7EBE6C65" w:rsidR="003A00EA" w:rsidRPr="00905CCE" w:rsidRDefault="003A00EA" w:rsidP="00351663">
            <w:pPr>
              <w:rPr>
                <w:sz w:val="20"/>
              </w:rPr>
            </w:pPr>
            <w:r>
              <w:rPr>
                <w:sz w:val="20"/>
              </w:rPr>
              <w:t>70% or greater</w:t>
            </w:r>
          </w:p>
          <w:p w14:paraId="200F8166" w14:textId="77777777" w:rsidR="00E06F48" w:rsidRDefault="00E06F48" w:rsidP="00351663">
            <w:pPr>
              <w:rPr>
                <w:i/>
                <w:color w:val="0070C0"/>
                <w:sz w:val="20"/>
              </w:rPr>
            </w:pPr>
          </w:p>
          <w:p w14:paraId="0DE3EEE4" w14:textId="77777777" w:rsidR="00E06F48" w:rsidRDefault="00E06F48" w:rsidP="00351663">
            <w:pPr>
              <w:rPr>
                <w:i/>
                <w:color w:val="0070C0"/>
                <w:sz w:val="20"/>
              </w:rPr>
            </w:pPr>
          </w:p>
          <w:p w14:paraId="7C505A38" w14:textId="6A516A48" w:rsidR="00E06F48" w:rsidRDefault="00E06F48" w:rsidP="00351663">
            <w:pPr>
              <w:rPr>
                <w:sz w:val="20"/>
              </w:rPr>
            </w:pPr>
            <w:r>
              <w:rPr>
                <w:sz w:val="20"/>
              </w:rPr>
              <w:t>Sample:</w:t>
            </w:r>
          </w:p>
          <w:p w14:paraId="3311018E" w14:textId="72152DA6" w:rsidR="00E06F48" w:rsidRDefault="003A00EA" w:rsidP="00351663">
            <w:pPr>
              <w:rPr>
                <w:sz w:val="20"/>
              </w:rPr>
            </w:pPr>
            <w:r>
              <w:rPr>
                <w:sz w:val="20"/>
              </w:rPr>
              <w:t>All students will be assessed.</w:t>
            </w:r>
          </w:p>
          <w:p w14:paraId="31852188" w14:textId="77777777" w:rsidR="003A00EA" w:rsidRPr="003A00EA" w:rsidRDefault="003A00EA" w:rsidP="00351663">
            <w:pPr>
              <w:rPr>
                <w:sz w:val="20"/>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19764BC1" w:rsidR="00E06F48" w:rsidRPr="005A30D4" w:rsidRDefault="005A30D4" w:rsidP="00351663">
            <w:pPr>
              <w:rPr>
                <w:color w:val="0070C0"/>
                <w:sz w:val="20"/>
              </w:rPr>
            </w:pPr>
            <w:r w:rsidRPr="005A30D4">
              <w:rPr>
                <w:color w:val="000000" w:themeColor="text1"/>
                <w:sz w:val="20"/>
              </w:rPr>
              <w:t>Students will reflect on and respond to the legacies of the Holocaust and its global impact in the present and their own lives.</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2945" w14:textId="77777777" w:rsidR="00EB1D73" w:rsidRDefault="00EB1D73">
      <w:r>
        <w:separator/>
      </w:r>
    </w:p>
  </w:endnote>
  <w:endnote w:type="continuationSeparator" w:id="0">
    <w:p w14:paraId="70CD9B9C" w14:textId="77777777" w:rsidR="00EB1D73" w:rsidRDefault="00EB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D752D6">
      <w:rPr>
        <w:rStyle w:val="PageNumber"/>
        <w:noProof/>
        <w:sz w:val="20"/>
      </w:rPr>
      <w:t>2</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759D" w14:textId="77777777" w:rsidR="00EB1D73" w:rsidRDefault="00EB1D73">
      <w:r>
        <w:separator/>
      </w:r>
    </w:p>
  </w:footnote>
  <w:footnote w:type="continuationSeparator" w:id="0">
    <w:p w14:paraId="0D1ED43E" w14:textId="77777777" w:rsidR="00EB1D73" w:rsidRDefault="00EB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1A018B4F" w:rsidR="007821C4" w:rsidRPr="00581F94" w:rsidRDefault="007821C4" w:rsidP="00351663">
    <w:pPr>
      <w:rPr>
        <w:sz w:val="20"/>
      </w:rPr>
    </w:pPr>
    <w:r w:rsidRPr="00581F94">
      <w:rPr>
        <w:sz w:val="20"/>
      </w:rPr>
      <w:t>Faculty Name:</w:t>
    </w:r>
    <w:r w:rsidR="00357BE5">
      <w:rPr>
        <w:sz w:val="20"/>
      </w:rPr>
      <w:t xml:space="preserve"> </w:t>
    </w:r>
  </w:p>
  <w:p w14:paraId="16B15278" w14:textId="4800F272" w:rsidR="007821C4" w:rsidRPr="00581F94" w:rsidRDefault="007821C4" w:rsidP="00351663">
    <w:pPr>
      <w:rPr>
        <w:sz w:val="20"/>
      </w:rPr>
    </w:pPr>
    <w:r w:rsidRPr="00581F94">
      <w:rPr>
        <w:sz w:val="20"/>
      </w:rPr>
      <w:t xml:space="preserve">Course:  </w:t>
    </w:r>
    <w:r w:rsidR="00357BE5" w:rsidRPr="00357BE5">
      <w:rPr>
        <w:color w:val="000000" w:themeColor="text1"/>
        <w:sz w:val="20"/>
      </w:rPr>
      <w:t>REL3194: The Holocaust</w:t>
    </w:r>
    <w:r w:rsidRPr="00581F94">
      <w:rPr>
        <w:sz w:val="20"/>
      </w:rPr>
      <w:tab/>
    </w:r>
  </w:p>
  <w:p w14:paraId="2BB58D01" w14:textId="307DAD20" w:rsidR="007821C4" w:rsidRPr="00581F94" w:rsidRDefault="007821C4" w:rsidP="00351663">
    <w:pPr>
      <w:rPr>
        <w:sz w:val="20"/>
      </w:rPr>
    </w:pPr>
    <w:r w:rsidRPr="00581F94">
      <w:rPr>
        <w:sz w:val="20"/>
      </w:rPr>
      <w:t>Academic Unit:</w:t>
    </w:r>
    <w:r w:rsidRPr="00581F94">
      <w:rPr>
        <w:sz w:val="20"/>
      </w:rPr>
      <w:tab/>
    </w:r>
    <w:r w:rsidR="00357BE5">
      <w:rPr>
        <w:sz w:val="20"/>
      </w:rPr>
      <w:t>Religious Studies</w:t>
    </w:r>
    <w:r>
      <w:rPr>
        <w:sz w:val="20"/>
      </w:rPr>
      <w:tab/>
    </w:r>
    <w:r>
      <w:rPr>
        <w:sz w:val="20"/>
      </w:rPr>
      <w:tab/>
    </w:r>
    <w:r>
      <w:rPr>
        <w:sz w:val="20"/>
      </w:rPr>
      <w:tab/>
      <w:t>Degree Program:</w:t>
    </w:r>
    <w:r w:rsidR="00357BE5">
      <w:rPr>
        <w:sz w:val="20"/>
      </w:rPr>
      <w:t xml:space="preserve"> BA</w:t>
    </w:r>
    <w:r>
      <w:rPr>
        <w:sz w:val="20"/>
      </w:rPr>
      <w:tab/>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5B68"/>
    <w:multiLevelType w:val="hybridMultilevel"/>
    <w:tmpl w:val="CF8A7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55679"/>
    <w:multiLevelType w:val="hybridMultilevel"/>
    <w:tmpl w:val="FDB26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359C"/>
    <w:multiLevelType w:val="hybridMultilevel"/>
    <w:tmpl w:val="78BA1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04A49"/>
    <w:multiLevelType w:val="hybridMultilevel"/>
    <w:tmpl w:val="30C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0"/>
  </w:num>
  <w:num w:numId="6">
    <w:abstractNumId w:val="7"/>
  </w:num>
  <w:num w:numId="7">
    <w:abstractNumId w:val="4"/>
  </w:num>
  <w:num w:numId="8">
    <w:abstractNumId w:val="12"/>
  </w:num>
  <w:num w:numId="9">
    <w:abstractNumId w:val="11"/>
  </w:num>
  <w:num w:numId="10">
    <w:abstractNumId w:val="1"/>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C4B42"/>
    <w:rsid w:val="0016278F"/>
    <w:rsid w:val="00192F7D"/>
    <w:rsid w:val="001A6893"/>
    <w:rsid w:val="00215A8B"/>
    <w:rsid w:val="0024043B"/>
    <w:rsid w:val="002434C6"/>
    <w:rsid w:val="00345845"/>
    <w:rsid w:val="00351663"/>
    <w:rsid w:val="00357BE5"/>
    <w:rsid w:val="003A00EA"/>
    <w:rsid w:val="003E132D"/>
    <w:rsid w:val="003F3DB7"/>
    <w:rsid w:val="00422074"/>
    <w:rsid w:val="00445D50"/>
    <w:rsid w:val="00521FFD"/>
    <w:rsid w:val="005730D6"/>
    <w:rsid w:val="00581F94"/>
    <w:rsid w:val="005A30D4"/>
    <w:rsid w:val="005C13BE"/>
    <w:rsid w:val="005C58EB"/>
    <w:rsid w:val="005F230A"/>
    <w:rsid w:val="006A06CE"/>
    <w:rsid w:val="006F77DC"/>
    <w:rsid w:val="007505D0"/>
    <w:rsid w:val="007821C4"/>
    <w:rsid w:val="00795F81"/>
    <w:rsid w:val="007D21C5"/>
    <w:rsid w:val="008E2DC9"/>
    <w:rsid w:val="00943D59"/>
    <w:rsid w:val="00A202F5"/>
    <w:rsid w:val="00AB4C89"/>
    <w:rsid w:val="00B41437"/>
    <w:rsid w:val="00B95595"/>
    <w:rsid w:val="00C54222"/>
    <w:rsid w:val="00C80ABD"/>
    <w:rsid w:val="00C85AD3"/>
    <w:rsid w:val="00D46EE4"/>
    <w:rsid w:val="00D752D6"/>
    <w:rsid w:val="00DA5804"/>
    <w:rsid w:val="00DC61D0"/>
    <w:rsid w:val="00E06F48"/>
    <w:rsid w:val="00E6631C"/>
    <w:rsid w:val="00EB1D73"/>
    <w:rsid w:val="00F338D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C4BC8630-738D-D64D-9029-A9E26D2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1A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2018-12-03T17:50:00Z</dcterms:created>
  <dcterms:modified xsi:type="dcterms:W3CDTF">2018-12-03T17:50:00Z</dcterms:modified>
</cp:coreProperties>
</file>