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905CCE" w:rsidRDefault="00E06F48" w:rsidP="00351663">
            <w:pPr>
              <w:rPr>
                <w:sz w:val="20"/>
              </w:rPr>
            </w:pPr>
            <w:r w:rsidRPr="00905CCE">
              <w:rPr>
                <w:sz w:val="20"/>
              </w:rPr>
              <w:t>Assessment Activity/Artifact:</w:t>
            </w:r>
          </w:p>
          <w:p w14:paraId="44C7ED19" w14:textId="3A905422" w:rsidR="00E06F48" w:rsidRPr="002E1F0F" w:rsidRDefault="00726F1C" w:rsidP="00351663">
            <w:pPr>
              <w:rPr>
                <w:sz w:val="20"/>
              </w:rPr>
            </w:pPr>
            <w:r w:rsidRPr="002E1F0F">
              <w:rPr>
                <w:sz w:val="20"/>
              </w:rPr>
              <w:t>Embedded Questions</w:t>
            </w:r>
          </w:p>
          <w:p w14:paraId="44DFB152" w14:textId="77777777" w:rsidR="00E06F48" w:rsidRPr="00726F1C" w:rsidRDefault="00E06F48" w:rsidP="00351663">
            <w:pPr>
              <w:rPr>
                <w:sz w:val="20"/>
              </w:rPr>
            </w:pPr>
          </w:p>
          <w:p w14:paraId="54A27D71" w14:textId="23F605EC" w:rsidR="00E06F48" w:rsidRDefault="00F3653A" w:rsidP="00351663">
            <w:pPr>
              <w:rPr>
                <w:sz w:val="20"/>
              </w:rPr>
            </w:pPr>
            <w:r>
              <w:rPr>
                <w:sz w:val="20"/>
              </w:rPr>
              <w:t>Example</w:t>
            </w:r>
            <w:r w:rsidR="007B79CC">
              <w:rPr>
                <w:sz w:val="20"/>
              </w:rPr>
              <w:t>s</w:t>
            </w:r>
            <w:r>
              <w:rPr>
                <w:sz w:val="20"/>
              </w:rPr>
              <w:t xml:space="preserve">: </w:t>
            </w:r>
          </w:p>
          <w:p w14:paraId="61C0F3E2" w14:textId="55188FA9" w:rsidR="007B79CC" w:rsidRPr="007B79CC" w:rsidRDefault="007B79CC" w:rsidP="007B79CC">
            <w:pPr>
              <w:rPr>
                <w:sz w:val="16"/>
                <w:szCs w:val="16"/>
              </w:rPr>
            </w:pPr>
            <w:r w:rsidRPr="007B79CC">
              <w:rPr>
                <w:sz w:val="16"/>
                <w:szCs w:val="16"/>
              </w:rPr>
              <w:t>Short Essay: Compare and contrast the role</w:t>
            </w:r>
            <w:r>
              <w:rPr>
                <w:sz w:val="16"/>
                <w:szCs w:val="16"/>
              </w:rPr>
              <w:t>s</w:t>
            </w:r>
            <w:r w:rsidRPr="007B79CC">
              <w:rPr>
                <w:sz w:val="16"/>
                <w:szCs w:val="16"/>
              </w:rPr>
              <w:t xml:space="preserve"> of a priest and that of a shaman. Provide examples of both roles in different cultural contexts exploring which practices are universal and which practices are culturally specific. </w:t>
            </w:r>
          </w:p>
          <w:p w14:paraId="74C8C41D" w14:textId="77777777" w:rsidR="007B79CC" w:rsidRDefault="007B79CC" w:rsidP="007B79CC">
            <w:pPr>
              <w:rPr>
                <w:sz w:val="16"/>
                <w:szCs w:val="16"/>
              </w:rPr>
            </w:pPr>
          </w:p>
          <w:p w14:paraId="78B32C0B" w14:textId="4258FCFE" w:rsidR="00E06F48" w:rsidRPr="007B79CC" w:rsidRDefault="007B79CC" w:rsidP="007B79CC">
            <w:pPr>
              <w:rPr>
                <w:sz w:val="16"/>
                <w:szCs w:val="16"/>
              </w:rPr>
            </w:pPr>
            <w:r w:rsidRPr="007B79CC">
              <w:rPr>
                <w:sz w:val="16"/>
                <w:szCs w:val="16"/>
              </w:rPr>
              <w:t>Magic and Witchcraft are found in many cultural contexts. Write a short essay describing the practical implications of the belief in magic or witchcraft in a particular culture. Explore the relationship between their beliefs and specific practices.</w:t>
            </w:r>
          </w:p>
          <w:p w14:paraId="0CAD9397" w14:textId="77777777" w:rsidR="00E06F48" w:rsidRPr="00905CCE" w:rsidRDefault="00E06F48" w:rsidP="00351663">
            <w:pPr>
              <w:rPr>
                <w:sz w:val="20"/>
              </w:rPr>
            </w:pPr>
          </w:p>
          <w:p w14:paraId="7A03C96A" w14:textId="77777777" w:rsidR="00E06F48" w:rsidRPr="00905CCE" w:rsidRDefault="00E06F48" w:rsidP="00351663">
            <w:pPr>
              <w:rPr>
                <w:sz w:val="20"/>
              </w:rPr>
            </w:pPr>
            <w:r w:rsidRPr="00905CCE">
              <w:rPr>
                <w:sz w:val="20"/>
              </w:rPr>
              <w:t>Evaluation Process:</w:t>
            </w:r>
          </w:p>
          <w:p w14:paraId="4D312735" w14:textId="1A96121D" w:rsidR="00E06F48" w:rsidRDefault="00BE766A" w:rsidP="00351663">
            <w:pPr>
              <w:rPr>
                <w:sz w:val="20"/>
              </w:rPr>
            </w:pPr>
            <w:r>
              <w:rPr>
                <w:sz w:val="20"/>
              </w:rPr>
              <w:t xml:space="preserve">Number of correct questions out of GL question pool. </w:t>
            </w:r>
          </w:p>
          <w:p w14:paraId="1920FB8E" w14:textId="77777777" w:rsidR="00E06F48" w:rsidRDefault="00E06F48" w:rsidP="00351663">
            <w:pPr>
              <w:rPr>
                <w:sz w:val="20"/>
              </w:rPr>
            </w:pPr>
          </w:p>
          <w:p w14:paraId="6561727E" w14:textId="77777777" w:rsidR="00E06F48" w:rsidRDefault="00E06F48" w:rsidP="00351663">
            <w:pPr>
              <w:rPr>
                <w:sz w:val="20"/>
              </w:rPr>
            </w:pPr>
            <w:r w:rsidRPr="00905CCE">
              <w:rPr>
                <w:sz w:val="20"/>
              </w:rPr>
              <w:t>Minimum Criteria for Success:</w:t>
            </w:r>
          </w:p>
          <w:p w14:paraId="12D9AF1B" w14:textId="7CA31F26" w:rsidR="00BE766A" w:rsidRPr="00905CCE" w:rsidRDefault="002F6552" w:rsidP="00351663">
            <w:pPr>
              <w:rPr>
                <w:sz w:val="20"/>
              </w:rPr>
            </w:pPr>
            <w:r>
              <w:rPr>
                <w:sz w:val="20"/>
              </w:rPr>
              <w:t>70</w:t>
            </w:r>
            <w:r w:rsidR="00BE766A">
              <w:rPr>
                <w:sz w:val="20"/>
              </w:rPr>
              <w:t>% or greater correct of total</w:t>
            </w:r>
          </w:p>
          <w:p w14:paraId="46C02B30" w14:textId="77777777" w:rsidR="00E06F48" w:rsidRDefault="00E06F48" w:rsidP="00351663">
            <w:pPr>
              <w:rPr>
                <w:i/>
                <w:color w:val="0070C0"/>
                <w:sz w:val="20"/>
              </w:rPr>
            </w:pPr>
          </w:p>
          <w:p w14:paraId="34A3C146" w14:textId="77777777" w:rsidR="00E06F48" w:rsidRDefault="00E06F48" w:rsidP="00351663">
            <w:pPr>
              <w:rPr>
                <w:i/>
                <w:color w:val="0070C0"/>
                <w:sz w:val="20"/>
              </w:rPr>
            </w:pPr>
          </w:p>
          <w:p w14:paraId="093A6908" w14:textId="77777777" w:rsidR="00E06F48" w:rsidRDefault="00E06F48" w:rsidP="00351663">
            <w:pPr>
              <w:rPr>
                <w:sz w:val="20"/>
              </w:rPr>
            </w:pPr>
            <w:r>
              <w:rPr>
                <w:sz w:val="20"/>
              </w:rPr>
              <w:t>Sample:</w:t>
            </w:r>
          </w:p>
          <w:p w14:paraId="20DC2024" w14:textId="1AC3A08F" w:rsidR="00E06F48" w:rsidRPr="002E1F0F" w:rsidRDefault="00726F1C" w:rsidP="00351663">
            <w:pPr>
              <w:rPr>
                <w:sz w:val="20"/>
                <w:szCs w:val="20"/>
              </w:rPr>
            </w:pPr>
            <w:r w:rsidRPr="002E1F0F">
              <w:rPr>
                <w:sz w:val="20"/>
                <w:szCs w:val="20"/>
              </w:rPr>
              <w:t>All students will be evaluated</w:t>
            </w:r>
            <w:r w:rsidR="002E1F0F" w:rsidRPr="002E1F0F">
              <w:rPr>
                <w:sz w:val="20"/>
                <w:szCs w:val="20"/>
              </w:rPr>
              <w:t>.</w:t>
            </w:r>
          </w:p>
          <w:p w14:paraId="514F6A88" w14:textId="77777777" w:rsidR="002E1F0F" w:rsidRPr="00A80501" w:rsidRDefault="002E1F0F" w:rsidP="007B79CC">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68DE0664" w:rsidR="00E06F48" w:rsidRPr="00726F1C" w:rsidRDefault="00726F1C" w:rsidP="00351663">
            <w:pPr>
              <w:rPr>
                <w:sz w:val="20"/>
              </w:rPr>
            </w:pPr>
            <w:r>
              <w:rPr>
                <w:sz w:val="20"/>
              </w:rPr>
              <w:br/>
            </w:r>
            <w:r w:rsidRPr="00726F1C">
              <w:rPr>
                <w:sz w:val="20"/>
              </w:rPr>
              <w:t>Students will demonstrate an understanding of the interrelatedness of beliefs and practices regarding magic, witchcraft and the supernatural in a variety of cultural contexts.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905CCE" w:rsidRDefault="00E06F48" w:rsidP="00351663">
            <w:pPr>
              <w:rPr>
                <w:sz w:val="20"/>
              </w:rPr>
            </w:pPr>
            <w:r w:rsidRPr="00905CCE">
              <w:rPr>
                <w:sz w:val="20"/>
              </w:rPr>
              <w:t>Assessment Activity/Artifact:</w:t>
            </w:r>
          </w:p>
          <w:p w14:paraId="0319F4F8" w14:textId="5C2213E4" w:rsidR="00E06F48" w:rsidRPr="00726F1C" w:rsidRDefault="00726F1C" w:rsidP="00351663">
            <w:pPr>
              <w:rPr>
                <w:sz w:val="20"/>
              </w:rPr>
            </w:pPr>
            <w:r w:rsidRPr="00726F1C">
              <w:rPr>
                <w:sz w:val="20"/>
              </w:rPr>
              <w:t>Final Essay</w:t>
            </w:r>
          </w:p>
          <w:p w14:paraId="15D7719D" w14:textId="77777777" w:rsidR="00E06F48" w:rsidRPr="00905CCE" w:rsidRDefault="00E06F48" w:rsidP="00351663">
            <w:pPr>
              <w:rPr>
                <w:sz w:val="20"/>
              </w:rPr>
            </w:pPr>
          </w:p>
          <w:p w14:paraId="5C0A0ECC" w14:textId="77777777" w:rsidR="00E06F48" w:rsidRDefault="00E06F48" w:rsidP="00351663">
            <w:pPr>
              <w:rPr>
                <w:sz w:val="20"/>
              </w:rPr>
            </w:pPr>
          </w:p>
          <w:p w14:paraId="08E69090" w14:textId="77777777" w:rsidR="00E06F48" w:rsidRPr="00905CCE" w:rsidRDefault="00E06F48" w:rsidP="00351663">
            <w:pPr>
              <w:rPr>
                <w:sz w:val="20"/>
              </w:rPr>
            </w:pPr>
          </w:p>
          <w:p w14:paraId="10449FBC" w14:textId="77777777" w:rsidR="00E06F48" w:rsidRPr="00905CCE" w:rsidRDefault="00E06F48" w:rsidP="00351663">
            <w:pPr>
              <w:rPr>
                <w:sz w:val="20"/>
              </w:rPr>
            </w:pPr>
            <w:r w:rsidRPr="00905CCE">
              <w:rPr>
                <w:sz w:val="20"/>
              </w:rPr>
              <w:t>Evaluation Process:</w:t>
            </w:r>
          </w:p>
          <w:p w14:paraId="1A9DB4E3" w14:textId="0954F144" w:rsidR="00E06F48" w:rsidRDefault="00657999" w:rsidP="00351663">
            <w:pPr>
              <w:rPr>
                <w:sz w:val="20"/>
              </w:rPr>
            </w:pPr>
            <w:r>
              <w:rPr>
                <w:sz w:val="20"/>
              </w:rPr>
              <w:t>This will be evaluated based on a rubric.</w:t>
            </w:r>
          </w:p>
          <w:p w14:paraId="0E3FADBB" w14:textId="77777777" w:rsidR="00E06F48" w:rsidRDefault="00E06F48" w:rsidP="00351663">
            <w:pPr>
              <w:rPr>
                <w:sz w:val="20"/>
              </w:rPr>
            </w:pPr>
          </w:p>
          <w:p w14:paraId="3BF88719" w14:textId="77777777" w:rsidR="00E06F48" w:rsidRDefault="00E06F48" w:rsidP="00351663">
            <w:pPr>
              <w:rPr>
                <w:sz w:val="20"/>
              </w:rPr>
            </w:pPr>
          </w:p>
          <w:p w14:paraId="48638B58" w14:textId="77777777" w:rsidR="00E06F48" w:rsidRDefault="00E06F48" w:rsidP="00351663">
            <w:pPr>
              <w:rPr>
                <w:sz w:val="20"/>
              </w:rPr>
            </w:pPr>
          </w:p>
          <w:p w14:paraId="2DE590D4" w14:textId="77777777" w:rsidR="00E06F48" w:rsidRPr="00905CCE" w:rsidRDefault="00E06F48" w:rsidP="00351663">
            <w:pPr>
              <w:rPr>
                <w:sz w:val="20"/>
              </w:rPr>
            </w:pPr>
            <w:r w:rsidRPr="00905CCE">
              <w:rPr>
                <w:sz w:val="20"/>
              </w:rPr>
              <w:t>Minimum Criteria for Success:</w:t>
            </w:r>
          </w:p>
          <w:p w14:paraId="09ED0CB5" w14:textId="5D05A0A1" w:rsidR="00E06F48" w:rsidRPr="004B75DA" w:rsidRDefault="004B75DA" w:rsidP="00351663">
            <w:pPr>
              <w:rPr>
                <w:sz w:val="20"/>
              </w:rPr>
            </w:pPr>
            <w:r w:rsidRPr="004B75DA">
              <w:rPr>
                <w:sz w:val="20"/>
              </w:rPr>
              <w:t xml:space="preserve">Student receives at least 12 points or higher on the GL Perspective portion of their paper. </w:t>
            </w:r>
          </w:p>
          <w:p w14:paraId="215E4D2E" w14:textId="77777777" w:rsidR="00E06F48" w:rsidRPr="004B75DA" w:rsidRDefault="00E06F48" w:rsidP="00351663">
            <w:pPr>
              <w:rPr>
                <w:i/>
                <w:sz w:val="20"/>
              </w:rPr>
            </w:pPr>
          </w:p>
          <w:p w14:paraId="1F9CE4FD" w14:textId="77777777" w:rsidR="00E06F48" w:rsidRDefault="00E06F48" w:rsidP="00351663">
            <w:pPr>
              <w:rPr>
                <w:i/>
                <w:color w:val="0070C0"/>
                <w:sz w:val="20"/>
              </w:rPr>
            </w:pPr>
          </w:p>
          <w:p w14:paraId="61098E28" w14:textId="77777777" w:rsidR="00E06F48" w:rsidRDefault="00E06F48" w:rsidP="00351663">
            <w:pPr>
              <w:rPr>
                <w:sz w:val="20"/>
              </w:rPr>
            </w:pPr>
            <w:r>
              <w:rPr>
                <w:sz w:val="20"/>
              </w:rPr>
              <w:t>Sample:</w:t>
            </w:r>
          </w:p>
          <w:p w14:paraId="469F82FA" w14:textId="3B875E12" w:rsidR="00E06F48" w:rsidRPr="002E1F0F" w:rsidRDefault="00726F1C" w:rsidP="00351663">
            <w:pPr>
              <w:rPr>
                <w:sz w:val="20"/>
                <w:szCs w:val="20"/>
              </w:rPr>
            </w:pPr>
            <w:r w:rsidRPr="002E1F0F">
              <w:rPr>
                <w:sz w:val="20"/>
                <w:szCs w:val="20"/>
              </w:rPr>
              <w:t>All students will be evaluated</w:t>
            </w:r>
            <w:r w:rsidR="002E1F0F" w:rsidRPr="002E1F0F">
              <w:rPr>
                <w:sz w:val="20"/>
                <w:szCs w:val="20"/>
              </w:rPr>
              <w:t>.</w:t>
            </w:r>
          </w:p>
          <w:p w14:paraId="7070809E" w14:textId="77777777" w:rsidR="00E06F48" w:rsidRDefault="00E06F48" w:rsidP="00351663">
            <w:pPr>
              <w:rPr>
                <w:i/>
                <w:color w:val="0070C0"/>
                <w:sz w:val="22"/>
              </w:rPr>
            </w:pPr>
          </w:p>
          <w:p w14:paraId="53309C59" w14:textId="77777777" w:rsidR="00E06F48" w:rsidRDefault="00E06F48" w:rsidP="00351663">
            <w:pPr>
              <w:rPr>
                <w:i/>
                <w:color w:val="0070C0"/>
                <w:sz w:val="22"/>
              </w:rPr>
            </w:pPr>
          </w:p>
          <w:p w14:paraId="0AEAEAEF" w14:textId="77777777" w:rsidR="002E1F0F" w:rsidRDefault="002E1F0F" w:rsidP="00351663">
            <w:pPr>
              <w:rPr>
                <w:i/>
                <w:color w:val="0070C0"/>
                <w:sz w:val="22"/>
              </w:rPr>
            </w:pPr>
          </w:p>
          <w:p w14:paraId="71439C2D" w14:textId="77777777" w:rsidR="002E1F0F" w:rsidRDefault="002E1F0F" w:rsidP="00351663">
            <w:pPr>
              <w:rPr>
                <w:i/>
                <w:color w:val="0070C0"/>
                <w:sz w:val="22"/>
              </w:rPr>
            </w:pPr>
          </w:p>
          <w:p w14:paraId="49CB63E2" w14:textId="77777777" w:rsidR="002E1F0F" w:rsidRDefault="002E1F0F" w:rsidP="00351663">
            <w:pPr>
              <w:rPr>
                <w:i/>
                <w:color w:val="0070C0"/>
                <w:sz w:val="22"/>
              </w:rPr>
            </w:pPr>
          </w:p>
          <w:p w14:paraId="27031866" w14:textId="77777777" w:rsidR="002E1F0F" w:rsidRPr="00A80501" w:rsidRDefault="002E1F0F"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48D98723" w14:textId="77777777" w:rsidR="00726F1C" w:rsidRDefault="00726F1C" w:rsidP="00726F1C">
            <w:pPr>
              <w:rPr>
                <w:i/>
                <w:color w:val="0070C0"/>
                <w:sz w:val="20"/>
              </w:rPr>
            </w:pPr>
          </w:p>
          <w:p w14:paraId="3E541137" w14:textId="3DE65862" w:rsidR="00E06F48" w:rsidRPr="00726F1C" w:rsidRDefault="00726F1C" w:rsidP="00726F1C">
            <w:pPr>
              <w:rPr>
                <w:sz w:val="20"/>
              </w:rPr>
            </w:pPr>
            <w:r w:rsidRPr="00726F1C">
              <w:rPr>
                <w:sz w:val="20"/>
              </w:rPr>
              <w:t>Students will construct a multi-perspective analysis of a topic related to magic and religions.</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34B3E5EE" w14:textId="6D970A3E" w:rsidR="00E06F48" w:rsidRPr="002E1F0F" w:rsidRDefault="00E06F48" w:rsidP="00351663">
            <w:pPr>
              <w:rPr>
                <w:sz w:val="20"/>
              </w:rPr>
            </w:pPr>
            <w:r w:rsidRPr="00905CCE">
              <w:rPr>
                <w:sz w:val="20"/>
              </w:rPr>
              <w:t>Assessment Activity/Artifact:</w:t>
            </w:r>
          </w:p>
          <w:p w14:paraId="7488A350" w14:textId="482EC44B" w:rsidR="00E06F48" w:rsidRPr="00F3653A" w:rsidRDefault="00FF5DFD" w:rsidP="00351663">
            <w:pPr>
              <w:rPr>
                <w:sz w:val="16"/>
                <w:szCs w:val="16"/>
              </w:rPr>
            </w:pPr>
            <w:r>
              <w:rPr>
                <w:sz w:val="20"/>
              </w:rPr>
              <w:t xml:space="preserve">1. </w:t>
            </w:r>
            <w:r w:rsidR="00726F1C" w:rsidRPr="00726F1C">
              <w:rPr>
                <w:sz w:val="20"/>
              </w:rPr>
              <w:t>Discussion</w:t>
            </w:r>
            <w:r w:rsidR="00726F1C">
              <w:rPr>
                <w:sz w:val="20"/>
              </w:rPr>
              <w:t>s</w:t>
            </w:r>
            <w:r w:rsidR="00F3653A">
              <w:rPr>
                <w:sz w:val="20"/>
              </w:rPr>
              <w:t xml:space="preserve"> – See syllabus for topics.</w:t>
            </w:r>
            <w:r>
              <w:rPr>
                <w:sz w:val="20"/>
              </w:rPr>
              <w:br/>
            </w:r>
            <w:r w:rsidRPr="00F3653A">
              <w:rPr>
                <w:sz w:val="20"/>
                <w:szCs w:val="20"/>
              </w:rPr>
              <w:t>2. B</w:t>
            </w:r>
            <w:r w:rsidR="00726F1C" w:rsidRPr="00F3653A">
              <w:rPr>
                <w:sz w:val="20"/>
                <w:szCs w:val="20"/>
              </w:rPr>
              <w:t>i-weekly journaling</w:t>
            </w:r>
            <w:r w:rsidR="00F3653A" w:rsidRPr="00F3653A">
              <w:rPr>
                <w:sz w:val="20"/>
                <w:szCs w:val="20"/>
              </w:rPr>
              <w:t xml:space="preserve"> -</w:t>
            </w:r>
            <w:r w:rsidR="00F3653A" w:rsidRPr="00F3653A">
              <w:rPr>
                <w:sz w:val="16"/>
                <w:szCs w:val="16"/>
              </w:rPr>
              <w:t xml:space="preserve"> </w:t>
            </w:r>
          </w:p>
          <w:p w14:paraId="38EE3BAF" w14:textId="4862186D" w:rsidR="00E06F48" w:rsidRPr="00F3653A" w:rsidRDefault="003C5474" w:rsidP="00351663">
            <w:pPr>
              <w:rPr>
                <w:sz w:val="16"/>
                <w:szCs w:val="16"/>
              </w:rPr>
            </w:pPr>
            <w:r>
              <w:rPr>
                <w:sz w:val="16"/>
                <w:szCs w:val="16"/>
              </w:rPr>
              <w:t xml:space="preserve">Instructions: Choose a topic or topics covered during the allotted time period, usually covering one or two lessons, and relate it to your own life experiences and current beliefs. </w:t>
            </w:r>
            <w:r w:rsidR="00F3653A" w:rsidRPr="00F3653A">
              <w:rPr>
                <w:sz w:val="16"/>
                <w:szCs w:val="16"/>
              </w:rPr>
              <w:t>These journal entries are meant to be an informal expression of your personal reaction as you explore the topics covered in class and grapple with how this new knowledge may impact how you see yoursel</w:t>
            </w:r>
            <w:r w:rsidR="00F3653A">
              <w:rPr>
                <w:sz w:val="16"/>
                <w:szCs w:val="16"/>
              </w:rPr>
              <w:t>f, your community and the world</w:t>
            </w:r>
            <w:r w:rsidR="00F3653A" w:rsidRPr="00F3653A">
              <w:rPr>
                <w:sz w:val="16"/>
                <w:szCs w:val="16"/>
              </w:rPr>
              <w:t>.</w:t>
            </w:r>
            <w:r w:rsidR="00F3653A">
              <w:t xml:space="preserve"> </w:t>
            </w:r>
            <w:r w:rsidR="00F3653A" w:rsidRPr="00F3653A">
              <w:rPr>
                <w:sz w:val="16"/>
                <w:szCs w:val="16"/>
              </w:rPr>
              <w:t>Please feel free to respond honestly. You will not be graded based on your content or opinions. This is also an appropriate venue to ask questions about the course content or related ideas.</w:t>
            </w:r>
          </w:p>
          <w:p w14:paraId="5D6E7D2E" w14:textId="77777777" w:rsidR="00E06F48" w:rsidRPr="00905CCE" w:rsidRDefault="00E06F48" w:rsidP="00351663">
            <w:pPr>
              <w:rPr>
                <w:sz w:val="20"/>
              </w:rPr>
            </w:pPr>
          </w:p>
          <w:p w14:paraId="5749D66F" w14:textId="5670D7BF" w:rsidR="00E06F48" w:rsidRDefault="00E06F48" w:rsidP="00351663">
            <w:pPr>
              <w:rPr>
                <w:sz w:val="20"/>
              </w:rPr>
            </w:pPr>
            <w:r w:rsidRPr="00905CCE">
              <w:rPr>
                <w:sz w:val="20"/>
              </w:rPr>
              <w:t>Evaluation Process:</w:t>
            </w:r>
          </w:p>
          <w:p w14:paraId="4B4A72EF" w14:textId="12451E85" w:rsidR="00657999" w:rsidRDefault="00FF5DFD" w:rsidP="00657999">
            <w:pPr>
              <w:rPr>
                <w:sz w:val="20"/>
              </w:rPr>
            </w:pPr>
            <w:r>
              <w:rPr>
                <w:sz w:val="20"/>
              </w:rPr>
              <w:t xml:space="preserve">1. </w:t>
            </w:r>
            <w:r w:rsidR="00657999">
              <w:rPr>
                <w:sz w:val="20"/>
              </w:rPr>
              <w:t xml:space="preserve">This will be evaluated based on </w:t>
            </w:r>
            <w:r>
              <w:rPr>
                <w:sz w:val="20"/>
              </w:rPr>
              <w:t>by a checklist of expectations</w:t>
            </w:r>
            <w:r w:rsidR="00657999">
              <w:rPr>
                <w:sz w:val="20"/>
              </w:rPr>
              <w:t>.</w:t>
            </w:r>
          </w:p>
          <w:p w14:paraId="21A33B06" w14:textId="5CF5DF7C" w:rsidR="00E06F48" w:rsidRDefault="00FF5DFD" w:rsidP="00351663">
            <w:pPr>
              <w:rPr>
                <w:sz w:val="20"/>
              </w:rPr>
            </w:pPr>
            <w:r>
              <w:rPr>
                <w:sz w:val="20"/>
              </w:rPr>
              <w:t>2. This will be evaluated either complete or incomplete.</w:t>
            </w:r>
          </w:p>
          <w:p w14:paraId="2BE3119A" w14:textId="47358CFB" w:rsidR="00E06F48" w:rsidRPr="00A032BB" w:rsidRDefault="00A032BB" w:rsidP="00351663">
            <w:pPr>
              <w:rPr>
                <w:sz w:val="20"/>
              </w:rPr>
            </w:pPr>
            <w:r>
              <w:rPr>
                <w:sz w:val="20"/>
              </w:rPr>
              <w:br/>
            </w:r>
            <w:r w:rsidR="00E06F48" w:rsidRPr="00905CCE">
              <w:rPr>
                <w:sz w:val="20"/>
              </w:rPr>
              <w:t>Minimum Criteria for Success</w:t>
            </w:r>
            <w:r w:rsidR="000D0BE0" w:rsidRPr="00905CCE">
              <w:rPr>
                <w:sz w:val="20"/>
              </w:rPr>
              <w:t xml:space="preserve">: </w:t>
            </w:r>
            <w:r w:rsidR="00FF5DFD">
              <w:rPr>
                <w:color w:val="0070C0"/>
                <w:sz w:val="20"/>
              </w:rPr>
              <w:br/>
            </w:r>
            <w:r w:rsidR="00FF5DFD" w:rsidRPr="00A032BB">
              <w:rPr>
                <w:sz w:val="20"/>
              </w:rPr>
              <w:t>1. 70% or greater</w:t>
            </w:r>
            <w:r w:rsidR="00FF5DFD" w:rsidRPr="00A032BB">
              <w:rPr>
                <w:sz w:val="20"/>
              </w:rPr>
              <w:br/>
              <w:t>2. 70% or greater</w:t>
            </w:r>
          </w:p>
          <w:p w14:paraId="412711DE" w14:textId="77777777" w:rsidR="00E06F48" w:rsidRPr="003C5474" w:rsidRDefault="00E06F48" w:rsidP="00351663">
            <w:pPr>
              <w:rPr>
                <w:color w:val="0070C0"/>
                <w:sz w:val="16"/>
                <w:szCs w:val="16"/>
              </w:rPr>
            </w:pPr>
          </w:p>
          <w:p w14:paraId="0DE3EEE4" w14:textId="77777777" w:rsidR="00E06F48" w:rsidRDefault="00E06F48" w:rsidP="00351663">
            <w:pPr>
              <w:rPr>
                <w:i/>
                <w:color w:val="0070C0"/>
                <w:sz w:val="20"/>
              </w:rPr>
            </w:pPr>
          </w:p>
          <w:p w14:paraId="7C505A38" w14:textId="77777777" w:rsidR="00E06F48" w:rsidRDefault="00E06F48" w:rsidP="00351663">
            <w:pPr>
              <w:rPr>
                <w:sz w:val="20"/>
              </w:rPr>
            </w:pPr>
            <w:r>
              <w:rPr>
                <w:sz w:val="20"/>
              </w:rPr>
              <w:t>Sample:</w:t>
            </w:r>
          </w:p>
          <w:p w14:paraId="31A21BCB" w14:textId="6D443AF7" w:rsidR="00E06F48" w:rsidRPr="002E1F0F" w:rsidRDefault="00726F1C" w:rsidP="00351663">
            <w:pPr>
              <w:rPr>
                <w:sz w:val="20"/>
                <w:szCs w:val="20"/>
              </w:rPr>
            </w:pPr>
            <w:r w:rsidRPr="002E1F0F">
              <w:rPr>
                <w:sz w:val="20"/>
                <w:szCs w:val="20"/>
              </w:rPr>
              <w:t>All students will be evaluated</w:t>
            </w:r>
            <w:r w:rsidR="002E1F0F" w:rsidRPr="002E1F0F">
              <w:rPr>
                <w:sz w:val="20"/>
                <w:szCs w:val="20"/>
              </w:rPr>
              <w:t>.</w:t>
            </w:r>
          </w:p>
          <w:p w14:paraId="2E757104" w14:textId="77777777" w:rsidR="00E06F48" w:rsidRPr="003C5474" w:rsidRDefault="00E06F48" w:rsidP="00351663">
            <w:pPr>
              <w:rPr>
                <w:i/>
                <w:color w:val="0070C0"/>
                <w:sz w:val="16"/>
                <w:szCs w:val="16"/>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790E11A6" w14:textId="76CDC500" w:rsidR="00726F1C" w:rsidRPr="00726F1C" w:rsidRDefault="00726F1C" w:rsidP="00726F1C">
            <w:pPr>
              <w:rPr>
                <w:sz w:val="20"/>
              </w:rPr>
            </w:pPr>
            <w:r>
              <w:rPr>
                <w:sz w:val="20"/>
              </w:rPr>
              <w:br/>
              <w:t>Students will d</w:t>
            </w:r>
            <w:r w:rsidRPr="00726F1C">
              <w:rPr>
                <w:sz w:val="20"/>
              </w:rPr>
              <w:t>emonstrate a willingness to engage in an ongoing dialogue about current global concerns in order to address problems arising from the interaction between global concerns and local religious beliefs and practices.</w:t>
            </w:r>
          </w:p>
          <w:p w14:paraId="1E1E0D1C" w14:textId="580954FB" w:rsidR="00E06F48" w:rsidRPr="00A80501" w:rsidRDefault="00E06F48" w:rsidP="00351663">
            <w:pPr>
              <w:rPr>
                <w:i/>
                <w:color w:val="0070C0"/>
                <w:sz w:val="20"/>
              </w:rPr>
            </w:pP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F126" w14:textId="77777777" w:rsidR="00BC78B8" w:rsidRDefault="00BC78B8">
      <w:r>
        <w:separator/>
      </w:r>
    </w:p>
  </w:endnote>
  <w:endnote w:type="continuationSeparator" w:id="0">
    <w:p w14:paraId="6516E857" w14:textId="77777777" w:rsidR="00BC78B8" w:rsidRDefault="00BC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B31122" w:rsidRDefault="00B3112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B31122" w:rsidRDefault="00B311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B31122" w:rsidRPr="00795F81" w:rsidRDefault="00B3112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D73EF6">
      <w:rPr>
        <w:rStyle w:val="PageNumber"/>
        <w:noProof/>
        <w:sz w:val="20"/>
      </w:rPr>
      <w:t>2</w:t>
    </w:r>
    <w:r w:rsidRPr="00795F81">
      <w:rPr>
        <w:rStyle w:val="PageNumber"/>
        <w:sz w:val="20"/>
      </w:rPr>
      <w:fldChar w:fldCharType="end"/>
    </w:r>
  </w:p>
  <w:p w14:paraId="0820744C" w14:textId="4DC4AD72" w:rsidR="00B31122" w:rsidRPr="007D21C5" w:rsidRDefault="00B31122"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E438" w14:textId="77777777" w:rsidR="00BC78B8" w:rsidRDefault="00BC78B8">
      <w:r>
        <w:separator/>
      </w:r>
    </w:p>
  </w:footnote>
  <w:footnote w:type="continuationSeparator" w:id="0">
    <w:p w14:paraId="24C3170C" w14:textId="77777777" w:rsidR="00BC78B8" w:rsidRDefault="00BC7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B31122" w:rsidRDefault="00B31122"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B31122" w:rsidRPr="00FD3E31" w:rsidRDefault="00B31122" w:rsidP="00581F94">
    <w:pPr>
      <w:rPr>
        <w:b/>
        <w:sz w:val="28"/>
        <w:szCs w:val="28"/>
      </w:rPr>
    </w:pPr>
    <w:r w:rsidRPr="00FD3E31">
      <w:rPr>
        <w:b/>
        <w:sz w:val="28"/>
        <w:szCs w:val="28"/>
      </w:rPr>
      <w:t>Global Learning Course</w:t>
    </w:r>
  </w:p>
  <w:p w14:paraId="57C20E13" w14:textId="32CD2BF7" w:rsidR="00B31122" w:rsidRDefault="00B31122" w:rsidP="00581F94">
    <w:pPr>
      <w:rPr>
        <w:b/>
        <w:sz w:val="28"/>
        <w:szCs w:val="28"/>
      </w:rPr>
    </w:pPr>
    <w:r w:rsidRPr="00FD3E31">
      <w:rPr>
        <w:b/>
        <w:sz w:val="28"/>
        <w:szCs w:val="28"/>
      </w:rPr>
      <w:t xml:space="preserve">Assessment Matrix </w:t>
    </w:r>
  </w:p>
  <w:p w14:paraId="041C7229" w14:textId="77777777" w:rsidR="00B31122" w:rsidRPr="00FD3E31" w:rsidRDefault="00B31122" w:rsidP="00581F94">
    <w:pPr>
      <w:rPr>
        <w:b/>
        <w:sz w:val="16"/>
        <w:szCs w:val="16"/>
      </w:rPr>
    </w:pPr>
  </w:p>
  <w:p w14:paraId="37997F31" w14:textId="25BEC0FE" w:rsidR="00B31122" w:rsidRPr="00581F94" w:rsidRDefault="00B31122" w:rsidP="00351663">
    <w:pPr>
      <w:rPr>
        <w:sz w:val="20"/>
      </w:rPr>
    </w:pPr>
    <w:r w:rsidRPr="00581F94">
      <w:rPr>
        <w:sz w:val="20"/>
      </w:rPr>
      <w:t>Faculty Name:</w:t>
    </w:r>
    <w:r>
      <w:rPr>
        <w:sz w:val="20"/>
      </w:rPr>
      <w:t xml:space="preserve"> </w:t>
    </w:r>
  </w:p>
  <w:p w14:paraId="16B15278" w14:textId="2E58FE06" w:rsidR="00B31122" w:rsidRPr="00581F94" w:rsidRDefault="00B31122" w:rsidP="00351663">
    <w:pPr>
      <w:rPr>
        <w:sz w:val="20"/>
      </w:rPr>
    </w:pPr>
    <w:r w:rsidRPr="00581F94">
      <w:rPr>
        <w:sz w:val="20"/>
      </w:rPr>
      <w:t xml:space="preserve">Course:  </w:t>
    </w:r>
    <w:r>
      <w:rPr>
        <w:sz w:val="20"/>
      </w:rPr>
      <w:t>REL 3075 Magic and Religions</w:t>
    </w:r>
    <w:r>
      <w:rPr>
        <w:color w:val="0070C0"/>
        <w:sz w:val="20"/>
        <w:u w:val="single"/>
      </w:rPr>
      <w:t xml:space="preserve"> </w:t>
    </w:r>
  </w:p>
  <w:p w14:paraId="2BB58D01" w14:textId="3D0EB844" w:rsidR="00B31122" w:rsidRPr="00581F94" w:rsidRDefault="00B31122" w:rsidP="00351663">
    <w:pPr>
      <w:rPr>
        <w:sz w:val="20"/>
      </w:rPr>
    </w:pPr>
    <w:r w:rsidRPr="00581F94">
      <w:rPr>
        <w:sz w:val="20"/>
      </w:rPr>
      <w:t>Academic Unit:</w:t>
    </w:r>
    <w:r w:rsidRPr="00581F94">
      <w:rPr>
        <w:sz w:val="20"/>
      </w:rPr>
      <w:tab/>
    </w:r>
    <w:r>
      <w:rPr>
        <w:sz w:val="20"/>
      </w:rPr>
      <w:t>Religious Studies</w:t>
    </w:r>
    <w:r>
      <w:rPr>
        <w:sz w:val="20"/>
      </w:rPr>
      <w:tab/>
    </w:r>
    <w:r>
      <w:rPr>
        <w:sz w:val="20"/>
      </w:rPr>
      <w:tab/>
    </w:r>
    <w:r>
      <w:rPr>
        <w:sz w:val="20"/>
      </w:rPr>
      <w:tab/>
      <w:t>Degree Program: BA Religious Studies</w:t>
    </w:r>
    <w:r>
      <w:rPr>
        <w:sz w:val="20"/>
      </w:rPr>
      <w:tab/>
    </w:r>
    <w:r>
      <w:rPr>
        <w:sz w:val="20"/>
      </w:rPr>
      <w:tab/>
      <w:t xml:space="preserve">     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0D0BE0"/>
    <w:rsid w:val="002434C6"/>
    <w:rsid w:val="002E1F0F"/>
    <w:rsid w:val="002F6552"/>
    <w:rsid w:val="00345845"/>
    <w:rsid w:val="00351663"/>
    <w:rsid w:val="003C5474"/>
    <w:rsid w:val="003E132D"/>
    <w:rsid w:val="003F3DB7"/>
    <w:rsid w:val="00445D50"/>
    <w:rsid w:val="004B75DA"/>
    <w:rsid w:val="00521FFD"/>
    <w:rsid w:val="00581F94"/>
    <w:rsid w:val="005C58EB"/>
    <w:rsid w:val="005E5E73"/>
    <w:rsid w:val="00657999"/>
    <w:rsid w:val="006A06CE"/>
    <w:rsid w:val="006F77DC"/>
    <w:rsid w:val="00726F1C"/>
    <w:rsid w:val="007505D0"/>
    <w:rsid w:val="007821C4"/>
    <w:rsid w:val="00795F81"/>
    <w:rsid w:val="007B79CC"/>
    <w:rsid w:val="007D21C5"/>
    <w:rsid w:val="008E2DC9"/>
    <w:rsid w:val="00943D59"/>
    <w:rsid w:val="00A032BB"/>
    <w:rsid w:val="00B31122"/>
    <w:rsid w:val="00B41437"/>
    <w:rsid w:val="00B95595"/>
    <w:rsid w:val="00BC78B8"/>
    <w:rsid w:val="00BE766A"/>
    <w:rsid w:val="00C85AD3"/>
    <w:rsid w:val="00D46EE4"/>
    <w:rsid w:val="00D73EF6"/>
    <w:rsid w:val="00DA5804"/>
    <w:rsid w:val="00DC61D0"/>
    <w:rsid w:val="00E06F48"/>
    <w:rsid w:val="00E6631C"/>
    <w:rsid w:val="00F34B6F"/>
    <w:rsid w:val="00F3653A"/>
    <w:rsid w:val="00F45ECC"/>
    <w:rsid w:val="00FD3E31"/>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7999"/>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7999"/>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Stephanie Doscher</cp:lastModifiedBy>
  <cp:revision>5</cp:revision>
  <cp:lastPrinted>2014-04-01T20:54:00Z</cp:lastPrinted>
  <dcterms:created xsi:type="dcterms:W3CDTF">2014-02-11T16:09:00Z</dcterms:created>
  <dcterms:modified xsi:type="dcterms:W3CDTF">2014-04-09T19:33:00Z</dcterms:modified>
</cp:coreProperties>
</file>