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305"/>
        <w:gridCol w:w="3381"/>
      </w:tblGrid>
      <w:tr w:rsidR="00E06F48" w:rsidRPr="00F632F6" w14:paraId="6C6B1AF3" w14:textId="77777777" w:rsidTr="007E2581">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305"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381"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7E2581">
        <w:trPr>
          <w:trHeight w:val="1140"/>
        </w:trPr>
        <w:tc>
          <w:tcPr>
            <w:tcW w:w="4145" w:type="dxa"/>
          </w:tcPr>
          <w:p w14:paraId="63F5D3C9" w14:textId="77777777" w:rsidR="00E06F48" w:rsidRPr="007E2581" w:rsidRDefault="00E06F48" w:rsidP="00351663">
            <w:pPr>
              <w:rPr>
                <w:color w:val="000000" w:themeColor="text1"/>
                <w:sz w:val="20"/>
              </w:rPr>
            </w:pPr>
          </w:p>
          <w:p w14:paraId="68CABB6E" w14:textId="77777777" w:rsidR="00E06F48" w:rsidRPr="007E2581" w:rsidRDefault="00E06F48" w:rsidP="00351663">
            <w:pPr>
              <w:rPr>
                <w:color w:val="000000" w:themeColor="text1"/>
                <w:sz w:val="20"/>
              </w:rPr>
            </w:pPr>
            <w:r w:rsidRPr="007E2581">
              <w:rPr>
                <w:color w:val="000000" w:themeColor="text1"/>
                <w:sz w:val="20"/>
                <w:u w:val="single"/>
              </w:rPr>
              <w:t>Global Awareness:</w:t>
            </w:r>
            <w:r w:rsidRPr="007E2581">
              <w:rPr>
                <w:color w:val="000000" w:themeColor="text1"/>
                <w:sz w:val="20"/>
              </w:rPr>
              <w:t xml:space="preserve"> </w:t>
            </w:r>
            <w:r w:rsidR="003F3DB7" w:rsidRPr="007E2581">
              <w:rPr>
                <w:color w:val="000000" w:themeColor="text1"/>
                <w:sz w:val="20"/>
              </w:rPr>
              <w:t>Students will be able to demonstrate k</w:t>
            </w:r>
            <w:r w:rsidRPr="007E2581">
              <w:rPr>
                <w:color w:val="000000" w:themeColor="text1"/>
                <w:sz w:val="20"/>
              </w:rPr>
              <w:t>nowledge of the interrelatedness of local, global, international, and intercultural issues, trends, and systems</w:t>
            </w:r>
            <w:r w:rsidR="003F3DB7" w:rsidRPr="007E2581">
              <w:rPr>
                <w:color w:val="000000" w:themeColor="text1"/>
                <w:sz w:val="20"/>
              </w:rPr>
              <w:t>.</w:t>
            </w:r>
          </w:p>
          <w:p w14:paraId="44855D00" w14:textId="77777777" w:rsidR="00E06F48" w:rsidRPr="007E2581" w:rsidRDefault="00E06F48" w:rsidP="00351663">
            <w:pPr>
              <w:rPr>
                <w:color w:val="000000" w:themeColor="text1"/>
                <w:sz w:val="22"/>
                <w:u w:val="single"/>
              </w:rPr>
            </w:pPr>
          </w:p>
        </w:tc>
        <w:tc>
          <w:tcPr>
            <w:tcW w:w="5305" w:type="dxa"/>
            <w:vMerge w:val="restart"/>
          </w:tcPr>
          <w:p w14:paraId="2B427968" w14:textId="6CB17B2B" w:rsidR="003F0A05" w:rsidRPr="007E2581" w:rsidRDefault="00E06F48" w:rsidP="00351663">
            <w:pPr>
              <w:rPr>
                <w:color w:val="000000" w:themeColor="text1"/>
                <w:sz w:val="20"/>
              </w:rPr>
            </w:pPr>
            <w:r w:rsidRPr="007E2581">
              <w:rPr>
                <w:color w:val="000000" w:themeColor="text1"/>
                <w:sz w:val="20"/>
              </w:rPr>
              <w:t>Assessment Activity/Artifact:</w:t>
            </w:r>
          </w:p>
          <w:p w14:paraId="7C0095E2" w14:textId="35F3DD33" w:rsidR="003F0A05" w:rsidRPr="007E2581" w:rsidRDefault="003F0A05" w:rsidP="00351663">
            <w:pPr>
              <w:pStyle w:val="ListParagraph"/>
              <w:numPr>
                <w:ilvl w:val="0"/>
                <w:numId w:val="10"/>
              </w:numPr>
              <w:rPr>
                <w:color w:val="000000" w:themeColor="text1"/>
                <w:sz w:val="20"/>
              </w:rPr>
            </w:pPr>
            <w:r w:rsidRPr="007E2581">
              <w:rPr>
                <w:i/>
                <w:color w:val="000000" w:themeColor="text1"/>
                <w:sz w:val="20"/>
                <w:szCs w:val="20"/>
              </w:rPr>
              <w:t xml:space="preserve">Essay: </w:t>
            </w:r>
            <w:r w:rsidRPr="007E2581">
              <w:rPr>
                <w:rFonts w:eastAsia="Calibri"/>
                <w:color w:val="000000" w:themeColor="text1"/>
                <w:sz w:val="20"/>
                <w:szCs w:val="20"/>
              </w:rPr>
              <w:t xml:space="preserve">Analyze the Role Communication, Leadership, Conflict Resolution, Culture &amp; the Ability to adapt to Change Plays in the Success of an Interculturally Diverse Team: When You See Things One Way &amp; Others Perceive it Differently. How to not let cultural assumptions and perceptions interfere with the communication process of building successful </w:t>
            </w:r>
            <w:r w:rsidRPr="007E2581">
              <w:rPr>
                <w:color w:val="000000" w:themeColor="text1"/>
                <w:sz w:val="20"/>
                <w:szCs w:val="20"/>
              </w:rPr>
              <w:t>international disaster response teams.</w:t>
            </w:r>
            <w:r w:rsidR="00B8549A" w:rsidRPr="007E2581">
              <w:rPr>
                <w:color w:val="000000" w:themeColor="text1"/>
                <w:sz w:val="20"/>
                <w:szCs w:val="20"/>
              </w:rPr>
              <w:t xml:space="preserve"> </w:t>
            </w:r>
          </w:p>
          <w:p w14:paraId="0CAD9397" w14:textId="77777777" w:rsidR="00E06F48" w:rsidRPr="007E2581" w:rsidRDefault="00E06F48" w:rsidP="00351663">
            <w:pPr>
              <w:rPr>
                <w:color w:val="000000" w:themeColor="text1"/>
                <w:sz w:val="20"/>
              </w:rPr>
            </w:pPr>
          </w:p>
          <w:p w14:paraId="7E52E53C" w14:textId="76C1323E" w:rsidR="00E06F48" w:rsidRPr="007E2581" w:rsidRDefault="00E06F48" w:rsidP="00351663">
            <w:pPr>
              <w:rPr>
                <w:color w:val="000000" w:themeColor="text1"/>
                <w:sz w:val="20"/>
              </w:rPr>
            </w:pPr>
            <w:r w:rsidRPr="007E2581">
              <w:rPr>
                <w:color w:val="000000" w:themeColor="text1"/>
                <w:sz w:val="20"/>
              </w:rPr>
              <w:t>Evaluation Process:</w:t>
            </w:r>
          </w:p>
          <w:p w14:paraId="0FC93970" w14:textId="77777777" w:rsidR="007D00A2" w:rsidRPr="007E2581" w:rsidRDefault="007D00A2" w:rsidP="007D00A2">
            <w:pPr>
              <w:rPr>
                <w:color w:val="000000" w:themeColor="text1"/>
                <w:sz w:val="20"/>
              </w:rPr>
            </w:pPr>
            <w:r w:rsidRPr="007E2581">
              <w:rPr>
                <w:color w:val="000000" w:themeColor="text1"/>
                <w:sz w:val="20"/>
              </w:rPr>
              <w:t xml:space="preserve">A </w:t>
            </w:r>
            <w:proofErr w:type="gramStart"/>
            <w:r w:rsidRPr="007E2581">
              <w:rPr>
                <w:color w:val="000000" w:themeColor="text1"/>
                <w:sz w:val="20"/>
              </w:rPr>
              <w:t>15 point</w:t>
            </w:r>
            <w:proofErr w:type="gramEnd"/>
            <w:r w:rsidRPr="007E2581">
              <w:rPr>
                <w:color w:val="000000" w:themeColor="text1"/>
                <w:sz w:val="20"/>
              </w:rPr>
              <w:t xml:space="preserve"> rubric will be used to compare the 5 concepts (Communication, Leadership, Conflict Resolution, Culture, and Adaptation to Change) across three different cultures.</w:t>
            </w:r>
          </w:p>
          <w:p w14:paraId="5E0AF4E2" w14:textId="77777777" w:rsidR="00E06F48" w:rsidRPr="007E2581" w:rsidRDefault="00E06F48" w:rsidP="00351663">
            <w:pPr>
              <w:rPr>
                <w:color w:val="000000" w:themeColor="text1"/>
                <w:sz w:val="20"/>
              </w:rPr>
            </w:pPr>
          </w:p>
          <w:p w14:paraId="6561727E" w14:textId="77777777" w:rsidR="00E06F48" w:rsidRPr="007E2581" w:rsidRDefault="00E06F48" w:rsidP="00351663">
            <w:pPr>
              <w:rPr>
                <w:color w:val="000000" w:themeColor="text1"/>
                <w:sz w:val="20"/>
              </w:rPr>
            </w:pPr>
            <w:r w:rsidRPr="007E2581">
              <w:rPr>
                <w:color w:val="000000" w:themeColor="text1"/>
                <w:sz w:val="20"/>
              </w:rPr>
              <w:t>Minimum Criteria for Success:</w:t>
            </w:r>
          </w:p>
          <w:p w14:paraId="070DB9F6" w14:textId="2844E991" w:rsidR="00E06F48" w:rsidRPr="007E2581" w:rsidRDefault="002D39F6" w:rsidP="00351663">
            <w:pPr>
              <w:rPr>
                <w:color w:val="000000" w:themeColor="text1"/>
                <w:sz w:val="20"/>
              </w:rPr>
            </w:pPr>
            <w:r w:rsidRPr="007E2581">
              <w:rPr>
                <w:color w:val="000000" w:themeColor="text1"/>
                <w:sz w:val="20"/>
              </w:rPr>
              <w:t>A minimum score of 10 is required for success</w:t>
            </w:r>
          </w:p>
          <w:p w14:paraId="34A3C146" w14:textId="77777777" w:rsidR="00E06F48" w:rsidRPr="007E2581" w:rsidRDefault="00E06F48" w:rsidP="00351663">
            <w:pPr>
              <w:rPr>
                <w:i/>
                <w:color w:val="000000" w:themeColor="text1"/>
                <w:sz w:val="20"/>
              </w:rPr>
            </w:pPr>
          </w:p>
          <w:p w14:paraId="37C9BC73" w14:textId="2AD43CC4" w:rsidR="00E06F48" w:rsidRDefault="00E06F48" w:rsidP="00351663">
            <w:pPr>
              <w:rPr>
                <w:color w:val="000000" w:themeColor="text1"/>
                <w:sz w:val="20"/>
                <w:szCs w:val="20"/>
              </w:rPr>
            </w:pPr>
            <w:r w:rsidRPr="007E2581">
              <w:rPr>
                <w:color w:val="000000" w:themeColor="text1"/>
                <w:sz w:val="20"/>
              </w:rPr>
              <w:t>Sample:</w:t>
            </w:r>
            <w:r w:rsidR="007E2581">
              <w:rPr>
                <w:color w:val="000000" w:themeColor="text1"/>
                <w:sz w:val="20"/>
              </w:rPr>
              <w:t xml:space="preserve"> </w:t>
            </w:r>
            <w:r w:rsidR="002D39F6" w:rsidRPr="007E2581">
              <w:rPr>
                <w:color w:val="000000" w:themeColor="text1"/>
                <w:sz w:val="20"/>
                <w:szCs w:val="20"/>
              </w:rPr>
              <w:t>The entire class</w:t>
            </w:r>
          </w:p>
          <w:p w14:paraId="2B2BFA54" w14:textId="77777777" w:rsidR="007E2581" w:rsidRPr="007E2581" w:rsidRDefault="007E2581" w:rsidP="00351663">
            <w:pPr>
              <w:rPr>
                <w:color w:val="000000" w:themeColor="text1"/>
                <w:sz w:val="20"/>
              </w:rPr>
            </w:pPr>
          </w:p>
          <w:p w14:paraId="514F6A88" w14:textId="77777777" w:rsidR="00E06F48" w:rsidRPr="007E2581" w:rsidRDefault="00E06F48" w:rsidP="00351663">
            <w:pPr>
              <w:rPr>
                <w:i/>
                <w:color w:val="000000" w:themeColor="text1"/>
                <w:sz w:val="22"/>
              </w:rPr>
            </w:pPr>
          </w:p>
        </w:tc>
        <w:tc>
          <w:tcPr>
            <w:tcW w:w="3381"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7E2581">
        <w:trPr>
          <w:trHeight w:val="260"/>
        </w:trPr>
        <w:tc>
          <w:tcPr>
            <w:tcW w:w="4145" w:type="dxa"/>
          </w:tcPr>
          <w:p w14:paraId="268FDF94" w14:textId="77777777" w:rsidR="00E06F48" w:rsidRPr="007E2581" w:rsidRDefault="00E06F48" w:rsidP="00351663">
            <w:pPr>
              <w:rPr>
                <w:color w:val="000000" w:themeColor="text1"/>
                <w:sz w:val="20"/>
              </w:rPr>
            </w:pPr>
            <w:r w:rsidRPr="007E2581">
              <w:rPr>
                <w:color w:val="000000" w:themeColor="text1"/>
                <w:sz w:val="20"/>
              </w:rPr>
              <w:t>Course Learning Outcome</w:t>
            </w:r>
          </w:p>
        </w:tc>
        <w:tc>
          <w:tcPr>
            <w:tcW w:w="5305" w:type="dxa"/>
            <w:vMerge/>
          </w:tcPr>
          <w:p w14:paraId="7880F95E" w14:textId="77777777" w:rsidR="00E06F48" w:rsidRPr="007E2581" w:rsidRDefault="00E06F48" w:rsidP="00351663">
            <w:pPr>
              <w:rPr>
                <w:color w:val="000000" w:themeColor="text1"/>
                <w:sz w:val="22"/>
              </w:rPr>
            </w:pPr>
          </w:p>
        </w:tc>
        <w:tc>
          <w:tcPr>
            <w:tcW w:w="3381" w:type="dxa"/>
            <w:vMerge/>
          </w:tcPr>
          <w:p w14:paraId="06EB8BBB" w14:textId="77777777" w:rsidR="00E06F48" w:rsidRPr="003D281E" w:rsidRDefault="00E06F48" w:rsidP="00351663">
            <w:pPr>
              <w:rPr>
                <w:sz w:val="22"/>
              </w:rPr>
            </w:pPr>
          </w:p>
        </w:tc>
      </w:tr>
      <w:tr w:rsidR="00E06F48" w:rsidRPr="00F632F6" w14:paraId="3AED5DDC" w14:textId="77777777" w:rsidTr="007E2581">
        <w:trPr>
          <w:trHeight w:val="2393"/>
        </w:trPr>
        <w:tc>
          <w:tcPr>
            <w:tcW w:w="4145" w:type="dxa"/>
          </w:tcPr>
          <w:p w14:paraId="35C7E44E" w14:textId="77777777" w:rsidR="00E06F48" w:rsidRPr="007E2581" w:rsidRDefault="00E06F48" w:rsidP="00351663">
            <w:pPr>
              <w:rPr>
                <w:i/>
                <w:color w:val="000000" w:themeColor="text1"/>
                <w:sz w:val="20"/>
              </w:rPr>
            </w:pPr>
          </w:p>
          <w:p w14:paraId="32E2AB7A" w14:textId="2A87EEA8" w:rsidR="003F0A05" w:rsidRPr="007E2581" w:rsidRDefault="003F0A05" w:rsidP="007E2581">
            <w:pPr>
              <w:jc w:val="both"/>
              <w:rPr>
                <w:color w:val="000000" w:themeColor="text1"/>
                <w:sz w:val="20"/>
                <w:szCs w:val="20"/>
              </w:rPr>
            </w:pPr>
            <w:bookmarkStart w:id="0" w:name="_Hlk30654120"/>
            <w:r w:rsidRPr="007E2581">
              <w:rPr>
                <w:color w:val="000000" w:themeColor="text1"/>
                <w:sz w:val="20"/>
                <w:szCs w:val="20"/>
              </w:rPr>
              <w:t xml:space="preserve">Students will be able to </w:t>
            </w:r>
            <w:bookmarkStart w:id="1" w:name="_Hlk30654597"/>
            <w:r w:rsidRPr="007E2581">
              <w:rPr>
                <w:color w:val="000000" w:themeColor="text1"/>
                <w:sz w:val="20"/>
                <w:szCs w:val="20"/>
              </w:rPr>
              <w:t>describe the role communication and cultures plays in building successful international disaster response teams.</w:t>
            </w:r>
            <w:r w:rsidR="00B8549A" w:rsidRPr="007E2581">
              <w:rPr>
                <w:color w:val="000000" w:themeColor="text1"/>
                <w:sz w:val="20"/>
                <w:szCs w:val="20"/>
              </w:rPr>
              <w:t xml:space="preserve"> This awareness of the influence culture has on communication and leadership styles will lead to more effective teams. By knowing the cultural differences that dominate team roles allows for a greater understanding of those roles.</w:t>
            </w:r>
          </w:p>
          <w:bookmarkEnd w:id="0"/>
          <w:p w14:paraId="40F284EF" w14:textId="77777777" w:rsidR="003F0A05" w:rsidRPr="007E2581" w:rsidRDefault="003F0A05" w:rsidP="003F0A05">
            <w:pPr>
              <w:rPr>
                <w:color w:val="000000" w:themeColor="text1"/>
                <w:sz w:val="20"/>
                <w:szCs w:val="20"/>
              </w:rPr>
            </w:pPr>
          </w:p>
          <w:bookmarkEnd w:id="1"/>
          <w:p w14:paraId="0C2C79FF" w14:textId="02E8607C" w:rsidR="002D39F6" w:rsidRPr="007E2581" w:rsidRDefault="002D39F6" w:rsidP="00351663">
            <w:pPr>
              <w:rPr>
                <w:i/>
                <w:color w:val="000000" w:themeColor="text1"/>
                <w:sz w:val="20"/>
              </w:rPr>
            </w:pPr>
          </w:p>
        </w:tc>
        <w:tc>
          <w:tcPr>
            <w:tcW w:w="5305" w:type="dxa"/>
            <w:vMerge/>
          </w:tcPr>
          <w:p w14:paraId="2150D560" w14:textId="77777777" w:rsidR="00E06F48" w:rsidRPr="007E2581" w:rsidRDefault="00E06F48" w:rsidP="00351663">
            <w:pPr>
              <w:rPr>
                <w:color w:val="000000" w:themeColor="text1"/>
                <w:sz w:val="22"/>
              </w:rPr>
            </w:pPr>
          </w:p>
        </w:tc>
        <w:tc>
          <w:tcPr>
            <w:tcW w:w="3381"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0B3CD40E" w14:textId="77777777" w:rsidR="00E06F48"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p w14:paraId="07171B20" w14:textId="77777777" w:rsidR="007E2581" w:rsidRDefault="007E2581" w:rsidP="00B95595">
            <w:pPr>
              <w:rPr>
                <w:i/>
                <w:color w:val="0070C0"/>
                <w:sz w:val="20"/>
              </w:rPr>
            </w:pPr>
          </w:p>
          <w:p w14:paraId="507B348B" w14:textId="77777777" w:rsidR="007E2581" w:rsidRDefault="007E2581" w:rsidP="00B95595">
            <w:pPr>
              <w:rPr>
                <w:i/>
                <w:color w:val="0070C0"/>
                <w:sz w:val="20"/>
              </w:rPr>
            </w:pPr>
          </w:p>
          <w:p w14:paraId="6B9C98A2" w14:textId="77777777" w:rsidR="007E2581" w:rsidRDefault="007E2581" w:rsidP="00B95595">
            <w:pPr>
              <w:rPr>
                <w:i/>
                <w:color w:val="0070C0"/>
                <w:sz w:val="20"/>
              </w:rPr>
            </w:pPr>
          </w:p>
          <w:p w14:paraId="7DA9035F" w14:textId="77777777" w:rsidR="007E2581" w:rsidRDefault="007E2581" w:rsidP="00B95595">
            <w:pPr>
              <w:rPr>
                <w:i/>
                <w:color w:val="0070C0"/>
                <w:sz w:val="20"/>
              </w:rPr>
            </w:pPr>
          </w:p>
          <w:p w14:paraId="57DBD504" w14:textId="71986008" w:rsidR="007E2581" w:rsidRPr="00C01161" w:rsidRDefault="007E2581" w:rsidP="00B95595">
            <w:pPr>
              <w:rPr>
                <w:i/>
                <w:color w:val="0070C0"/>
                <w:sz w:val="20"/>
              </w:rPr>
            </w:pP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90"/>
        <w:gridCol w:w="2931"/>
      </w:tblGrid>
      <w:tr w:rsidR="00E06F48" w:rsidRPr="00F632F6" w14:paraId="10BBA699" w14:textId="77777777" w:rsidTr="007E2581">
        <w:trPr>
          <w:trHeight w:val="305"/>
          <w:tblHeader/>
        </w:trPr>
        <w:tc>
          <w:tcPr>
            <w:tcW w:w="3510"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39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2931"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7E2581">
        <w:trPr>
          <w:trHeight w:val="1232"/>
        </w:trPr>
        <w:tc>
          <w:tcPr>
            <w:tcW w:w="3510" w:type="dxa"/>
          </w:tcPr>
          <w:p w14:paraId="09F2FF05" w14:textId="77777777" w:rsidR="00E06F48" w:rsidRPr="007E2581" w:rsidRDefault="00E06F48" w:rsidP="00351663">
            <w:pPr>
              <w:rPr>
                <w:bCs/>
                <w:color w:val="000000" w:themeColor="text1"/>
                <w:sz w:val="22"/>
                <w:u w:val="single"/>
              </w:rPr>
            </w:pPr>
          </w:p>
          <w:p w14:paraId="4A2E2893" w14:textId="77777777" w:rsidR="00E06F48" w:rsidRPr="007E2581" w:rsidRDefault="00E06F48" w:rsidP="00351663">
            <w:pPr>
              <w:rPr>
                <w:bCs/>
                <w:color w:val="000000" w:themeColor="text1"/>
                <w:sz w:val="20"/>
              </w:rPr>
            </w:pPr>
            <w:r w:rsidRPr="007E2581">
              <w:rPr>
                <w:bCs/>
                <w:color w:val="000000" w:themeColor="text1"/>
                <w:sz w:val="20"/>
                <w:u w:val="single"/>
              </w:rPr>
              <w:t>Global Perspective</w:t>
            </w:r>
            <w:r w:rsidRPr="007E2581">
              <w:rPr>
                <w:bCs/>
                <w:color w:val="000000" w:themeColor="text1"/>
                <w:sz w:val="20"/>
              </w:rPr>
              <w:t xml:space="preserve">: </w:t>
            </w:r>
            <w:r w:rsidR="003F3DB7" w:rsidRPr="007E2581">
              <w:rPr>
                <w:bCs/>
                <w:color w:val="000000" w:themeColor="text1"/>
                <w:sz w:val="20"/>
              </w:rPr>
              <w:t xml:space="preserve">Students will be able to </w:t>
            </w:r>
            <w:r w:rsidR="00C85AD3" w:rsidRPr="007E2581">
              <w:rPr>
                <w:bCs/>
                <w:color w:val="000000" w:themeColor="text1"/>
                <w:sz w:val="20"/>
              </w:rPr>
              <w:t>conduct</w:t>
            </w:r>
            <w:r w:rsidRPr="007E2581">
              <w:rPr>
                <w:bCs/>
                <w:color w:val="000000" w:themeColor="text1"/>
                <w:sz w:val="20"/>
              </w:rPr>
              <w:t xml:space="preserve"> a multi-perspective analysis of local, global, international, and intercultural problems</w:t>
            </w:r>
            <w:r w:rsidR="003F3DB7" w:rsidRPr="007E2581">
              <w:rPr>
                <w:bCs/>
                <w:color w:val="000000" w:themeColor="text1"/>
                <w:sz w:val="20"/>
              </w:rPr>
              <w:t>.</w:t>
            </w:r>
          </w:p>
          <w:p w14:paraId="67D76D5C" w14:textId="77777777" w:rsidR="00E06F48" w:rsidRPr="007E2581" w:rsidRDefault="00E06F48" w:rsidP="00351663">
            <w:pPr>
              <w:rPr>
                <w:bCs/>
                <w:color w:val="000000" w:themeColor="text1"/>
                <w:sz w:val="22"/>
                <w:u w:val="single"/>
              </w:rPr>
            </w:pPr>
          </w:p>
        </w:tc>
        <w:tc>
          <w:tcPr>
            <w:tcW w:w="6390" w:type="dxa"/>
            <w:vMerge w:val="restart"/>
          </w:tcPr>
          <w:p w14:paraId="530BB48A" w14:textId="31B9463E" w:rsidR="00E06F48" w:rsidRPr="007E2581" w:rsidRDefault="00E06F48" w:rsidP="00351663">
            <w:pPr>
              <w:rPr>
                <w:bCs/>
                <w:color w:val="000000" w:themeColor="text1"/>
                <w:sz w:val="20"/>
              </w:rPr>
            </w:pPr>
            <w:r w:rsidRPr="007E2581">
              <w:rPr>
                <w:bCs/>
                <w:color w:val="000000" w:themeColor="text1"/>
                <w:sz w:val="20"/>
              </w:rPr>
              <w:t>Assessment Activity/Artifact:</w:t>
            </w:r>
          </w:p>
          <w:p w14:paraId="52A6B798" w14:textId="40B66E7B" w:rsidR="003F0A05" w:rsidRPr="007E2581" w:rsidRDefault="003F0A05" w:rsidP="007E2581">
            <w:pPr>
              <w:ind w:firstLine="720"/>
              <w:rPr>
                <w:rFonts w:eastAsia="Calibri" w:cs="Arial"/>
                <w:bCs/>
                <w:color w:val="000000" w:themeColor="text1"/>
                <w:sz w:val="20"/>
                <w:szCs w:val="20"/>
              </w:rPr>
            </w:pPr>
            <w:r w:rsidRPr="007E2581">
              <w:rPr>
                <w:rFonts w:cs="Arial"/>
                <w:bCs/>
                <w:i/>
                <w:color w:val="000000" w:themeColor="text1"/>
                <w:sz w:val="20"/>
                <w:szCs w:val="20"/>
              </w:rPr>
              <w:t>Essay:</w:t>
            </w:r>
            <w:r w:rsidRPr="007E2581">
              <w:rPr>
                <w:rFonts w:eastAsia="Calibri" w:cs="Arial"/>
                <w:bCs/>
                <w:color w:val="000000" w:themeColor="text1"/>
                <w:sz w:val="20"/>
                <w:szCs w:val="20"/>
              </w:rPr>
              <w:t xml:space="preserve"> Describe how the Value of Integrity, Ethics, Character, Humility &amp; Personal Values Across the Globe Differs from Culture to Culture in Terms of Leadership style.  One’s communication and leadership style are learned (either consciously or unconsciously) by being part of a specific culture. By comparing the leadership qualities above, students will examine the cultural nuances impacting the leadership styles (and the corresponding effectiveness those styles have on the respective teams) of various disaster management rescue teams. During an international deployment numerous countries pull resources to form various teams so it is not uncommon to have a team leader from a country in which the member is not familiar with or a leader to have members on his/her team who have different perspectives on the leadership qualities above. This essay/paper will explore how culture, leadership and communication are intertwined in how one leads and how one follows.</w:t>
            </w:r>
          </w:p>
          <w:p w14:paraId="08E69090" w14:textId="77777777" w:rsidR="00E06F48" w:rsidRPr="007E2581" w:rsidRDefault="00E06F48" w:rsidP="00351663">
            <w:pPr>
              <w:rPr>
                <w:bCs/>
                <w:color w:val="000000" w:themeColor="text1"/>
                <w:sz w:val="20"/>
              </w:rPr>
            </w:pPr>
          </w:p>
          <w:p w14:paraId="60CD62B0" w14:textId="70777172" w:rsidR="007D00A2" w:rsidRPr="007E2581" w:rsidRDefault="00E06F48" w:rsidP="007D00A2">
            <w:pPr>
              <w:rPr>
                <w:bCs/>
                <w:color w:val="000000" w:themeColor="text1"/>
                <w:sz w:val="20"/>
              </w:rPr>
            </w:pPr>
            <w:r w:rsidRPr="007E2581">
              <w:rPr>
                <w:bCs/>
                <w:color w:val="000000" w:themeColor="text1"/>
                <w:sz w:val="20"/>
              </w:rPr>
              <w:t>Evaluation Process:</w:t>
            </w:r>
            <w:r w:rsidR="007E2581">
              <w:rPr>
                <w:bCs/>
                <w:color w:val="000000" w:themeColor="text1"/>
                <w:sz w:val="20"/>
              </w:rPr>
              <w:t xml:space="preserve"> </w:t>
            </w:r>
            <w:r w:rsidR="007D00A2" w:rsidRPr="007E2581">
              <w:rPr>
                <w:bCs/>
                <w:color w:val="000000" w:themeColor="text1"/>
                <w:sz w:val="20"/>
              </w:rPr>
              <w:t xml:space="preserve">A </w:t>
            </w:r>
            <w:proofErr w:type="gramStart"/>
            <w:r w:rsidR="007D00A2" w:rsidRPr="007E2581">
              <w:rPr>
                <w:bCs/>
                <w:color w:val="000000" w:themeColor="text1"/>
                <w:sz w:val="20"/>
              </w:rPr>
              <w:t>15 point</w:t>
            </w:r>
            <w:proofErr w:type="gramEnd"/>
            <w:r w:rsidR="007D00A2" w:rsidRPr="007E2581">
              <w:rPr>
                <w:bCs/>
                <w:color w:val="000000" w:themeColor="text1"/>
                <w:sz w:val="20"/>
              </w:rPr>
              <w:t xml:space="preserve"> rubric will be used to compare the 5 characteristics (Integrity, Ethics, Character, Humility, and Personal Values) across three different cultures.</w:t>
            </w:r>
          </w:p>
          <w:p w14:paraId="48638B58" w14:textId="77777777" w:rsidR="00E06F48" w:rsidRPr="007E2581" w:rsidRDefault="00E06F48" w:rsidP="00351663">
            <w:pPr>
              <w:rPr>
                <w:bCs/>
                <w:color w:val="000000" w:themeColor="text1"/>
                <w:sz w:val="20"/>
              </w:rPr>
            </w:pPr>
          </w:p>
          <w:p w14:paraId="09ED0CB5" w14:textId="4F980A98" w:rsidR="00E06F48" w:rsidRPr="007E2581" w:rsidRDefault="00E06F48" w:rsidP="00351663">
            <w:pPr>
              <w:rPr>
                <w:bCs/>
                <w:color w:val="000000" w:themeColor="text1"/>
                <w:sz w:val="20"/>
              </w:rPr>
            </w:pPr>
            <w:r w:rsidRPr="007E2581">
              <w:rPr>
                <w:bCs/>
                <w:color w:val="000000" w:themeColor="text1"/>
                <w:sz w:val="20"/>
              </w:rPr>
              <w:t>Minimum Criteria for Success:</w:t>
            </w:r>
          </w:p>
          <w:p w14:paraId="50A16112" w14:textId="77777777" w:rsidR="008711DD" w:rsidRPr="007E2581" w:rsidRDefault="008711DD" w:rsidP="008711DD">
            <w:pPr>
              <w:rPr>
                <w:bCs/>
                <w:color w:val="000000" w:themeColor="text1"/>
                <w:sz w:val="20"/>
              </w:rPr>
            </w:pPr>
            <w:r w:rsidRPr="007E2581">
              <w:rPr>
                <w:bCs/>
                <w:color w:val="000000" w:themeColor="text1"/>
                <w:sz w:val="20"/>
              </w:rPr>
              <w:t>A minimum score of 10 is required for success</w:t>
            </w:r>
          </w:p>
          <w:p w14:paraId="1F9CE4FD" w14:textId="77777777" w:rsidR="00E06F48" w:rsidRPr="007E2581" w:rsidRDefault="00E06F48" w:rsidP="00351663">
            <w:pPr>
              <w:rPr>
                <w:bCs/>
                <w:i/>
                <w:color w:val="000000" w:themeColor="text1"/>
                <w:sz w:val="20"/>
              </w:rPr>
            </w:pPr>
          </w:p>
          <w:p w14:paraId="27031866" w14:textId="31480612" w:rsidR="00E06F48" w:rsidRPr="007E2581" w:rsidRDefault="00E06F48" w:rsidP="00351663">
            <w:pPr>
              <w:rPr>
                <w:bCs/>
                <w:color w:val="000000" w:themeColor="text1"/>
                <w:sz w:val="20"/>
              </w:rPr>
            </w:pPr>
            <w:r w:rsidRPr="007E2581">
              <w:rPr>
                <w:bCs/>
                <w:color w:val="000000" w:themeColor="text1"/>
                <w:sz w:val="20"/>
              </w:rPr>
              <w:t>Sample:</w:t>
            </w:r>
            <w:r w:rsidR="007E2581" w:rsidRPr="007E2581">
              <w:rPr>
                <w:bCs/>
                <w:color w:val="000000" w:themeColor="text1"/>
                <w:sz w:val="20"/>
              </w:rPr>
              <w:t xml:space="preserve"> </w:t>
            </w:r>
            <w:r w:rsidR="008711DD" w:rsidRPr="007E2581">
              <w:rPr>
                <w:bCs/>
                <w:color w:val="000000" w:themeColor="text1"/>
                <w:sz w:val="20"/>
                <w:szCs w:val="20"/>
              </w:rPr>
              <w:t>The entire class</w:t>
            </w:r>
          </w:p>
        </w:tc>
        <w:tc>
          <w:tcPr>
            <w:tcW w:w="2931"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7E2581">
        <w:trPr>
          <w:trHeight w:val="260"/>
        </w:trPr>
        <w:tc>
          <w:tcPr>
            <w:tcW w:w="3510" w:type="dxa"/>
          </w:tcPr>
          <w:p w14:paraId="7A7A530C" w14:textId="77777777" w:rsidR="00E06F48" w:rsidRPr="007E2581" w:rsidRDefault="00E06F48" w:rsidP="00351663">
            <w:pPr>
              <w:rPr>
                <w:bCs/>
                <w:color w:val="000000" w:themeColor="text1"/>
                <w:sz w:val="20"/>
              </w:rPr>
            </w:pPr>
            <w:r w:rsidRPr="007E2581">
              <w:rPr>
                <w:bCs/>
                <w:color w:val="000000" w:themeColor="text1"/>
                <w:sz w:val="20"/>
              </w:rPr>
              <w:t>Course Learning Outcome</w:t>
            </w:r>
          </w:p>
        </w:tc>
        <w:tc>
          <w:tcPr>
            <w:tcW w:w="6390" w:type="dxa"/>
            <w:vMerge/>
          </w:tcPr>
          <w:p w14:paraId="41D0F97B" w14:textId="77777777" w:rsidR="00E06F48" w:rsidRPr="007E2581" w:rsidRDefault="00E06F48" w:rsidP="00351663">
            <w:pPr>
              <w:rPr>
                <w:bCs/>
                <w:color w:val="000000" w:themeColor="text1"/>
                <w:sz w:val="22"/>
              </w:rPr>
            </w:pPr>
          </w:p>
        </w:tc>
        <w:tc>
          <w:tcPr>
            <w:tcW w:w="2931" w:type="dxa"/>
            <w:vMerge/>
          </w:tcPr>
          <w:p w14:paraId="08FFC2EC" w14:textId="77777777" w:rsidR="00E06F48" w:rsidRPr="003D281E" w:rsidRDefault="00E06F48" w:rsidP="00351663">
            <w:pPr>
              <w:rPr>
                <w:sz w:val="22"/>
              </w:rPr>
            </w:pPr>
          </w:p>
        </w:tc>
      </w:tr>
      <w:tr w:rsidR="00E06F48" w:rsidRPr="00F632F6" w14:paraId="3523A353" w14:textId="77777777" w:rsidTr="007E2581">
        <w:trPr>
          <w:trHeight w:val="2393"/>
        </w:trPr>
        <w:tc>
          <w:tcPr>
            <w:tcW w:w="3510" w:type="dxa"/>
          </w:tcPr>
          <w:p w14:paraId="0066FA1E" w14:textId="77777777" w:rsidR="00E06F48" w:rsidRPr="007E2581" w:rsidRDefault="00E06F48" w:rsidP="00351663">
            <w:pPr>
              <w:rPr>
                <w:bCs/>
                <w:i/>
                <w:color w:val="000000" w:themeColor="text1"/>
                <w:sz w:val="20"/>
              </w:rPr>
            </w:pPr>
          </w:p>
          <w:p w14:paraId="5E2F34A3" w14:textId="77777777" w:rsidR="002D39F6" w:rsidRPr="007E2581" w:rsidRDefault="002D39F6" w:rsidP="00351663">
            <w:pPr>
              <w:rPr>
                <w:bCs/>
                <w:i/>
                <w:color w:val="000000" w:themeColor="text1"/>
                <w:sz w:val="20"/>
              </w:rPr>
            </w:pPr>
          </w:p>
          <w:p w14:paraId="3E541137" w14:textId="4BA60D77" w:rsidR="003F0A05" w:rsidRPr="007E2581" w:rsidRDefault="003F0A05" w:rsidP="002E6A3D">
            <w:pPr>
              <w:pStyle w:val="ListParagraph"/>
              <w:numPr>
                <w:ilvl w:val="0"/>
                <w:numId w:val="10"/>
              </w:numPr>
              <w:rPr>
                <w:bCs/>
                <w:i/>
                <w:color w:val="000000" w:themeColor="text1"/>
                <w:sz w:val="20"/>
              </w:rPr>
            </w:pPr>
            <w:bookmarkStart w:id="2" w:name="_Hlk30654387"/>
            <w:r w:rsidRPr="007E2581">
              <w:rPr>
                <w:bCs/>
                <w:color w:val="000000" w:themeColor="text1"/>
                <w:sz w:val="20"/>
                <w:szCs w:val="20"/>
              </w:rPr>
              <w:t xml:space="preserve">Students will be able </w:t>
            </w:r>
            <w:bookmarkStart w:id="3" w:name="_Hlk30654406"/>
            <w:r w:rsidRPr="007E2581">
              <w:rPr>
                <w:bCs/>
                <w:color w:val="000000" w:themeColor="text1"/>
                <w:sz w:val="20"/>
                <w:szCs w:val="20"/>
              </w:rPr>
              <w:t xml:space="preserve">to </w:t>
            </w:r>
            <w:bookmarkStart w:id="4" w:name="_Hlk30654458"/>
            <w:r w:rsidRPr="007E2581">
              <w:rPr>
                <w:bCs/>
                <w:color w:val="000000" w:themeColor="text1"/>
                <w:sz w:val="20"/>
                <w:szCs w:val="20"/>
              </w:rPr>
              <w:t>describe the characteristics of effective leadership and conflict resolution as seen through the lens of international cultures: i.e. Asia, Middle Eastern, Africa, South America and/or Europe.</w:t>
            </w:r>
            <w:r w:rsidR="00B8549A" w:rsidRPr="007E2581">
              <w:rPr>
                <w:bCs/>
                <w:color w:val="000000" w:themeColor="text1"/>
                <w:sz w:val="20"/>
                <w:szCs w:val="20"/>
              </w:rPr>
              <w:t xml:space="preserve"> </w:t>
            </w:r>
            <w:bookmarkEnd w:id="2"/>
            <w:bookmarkEnd w:id="3"/>
            <w:bookmarkEnd w:id="4"/>
          </w:p>
        </w:tc>
        <w:tc>
          <w:tcPr>
            <w:tcW w:w="6390" w:type="dxa"/>
            <w:vMerge/>
          </w:tcPr>
          <w:p w14:paraId="3A252DD1" w14:textId="77777777" w:rsidR="00E06F48" w:rsidRPr="007E2581" w:rsidRDefault="00E06F48" w:rsidP="00351663">
            <w:pPr>
              <w:rPr>
                <w:bCs/>
                <w:color w:val="000000" w:themeColor="text1"/>
                <w:sz w:val="22"/>
              </w:rPr>
            </w:pPr>
          </w:p>
        </w:tc>
        <w:tc>
          <w:tcPr>
            <w:tcW w:w="2931"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220"/>
        <w:gridCol w:w="3021"/>
      </w:tblGrid>
      <w:tr w:rsidR="00E06F48" w:rsidRPr="00F632F6" w14:paraId="7CEE1F7C" w14:textId="77777777" w:rsidTr="007E2581">
        <w:trPr>
          <w:trHeight w:val="305"/>
          <w:tblHeader/>
        </w:trPr>
        <w:tc>
          <w:tcPr>
            <w:tcW w:w="4590"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22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02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7E2581">
        <w:trPr>
          <w:trHeight w:val="1140"/>
        </w:trPr>
        <w:tc>
          <w:tcPr>
            <w:tcW w:w="4590"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5220" w:type="dxa"/>
            <w:vMerge w:val="restart"/>
          </w:tcPr>
          <w:p w14:paraId="34B3E5EE" w14:textId="27727C99" w:rsidR="00E06F48" w:rsidRPr="00FF2B5C" w:rsidRDefault="00E06F48" w:rsidP="00351663">
            <w:pPr>
              <w:rPr>
                <w:sz w:val="20"/>
              </w:rPr>
            </w:pPr>
            <w:r w:rsidRPr="00905CCE">
              <w:rPr>
                <w:sz w:val="20"/>
              </w:rPr>
              <w:t>Assessment Activity/Artifact:</w:t>
            </w:r>
          </w:p>
          <w:p w14:paraId="7488A350" w14:textId="53323813" w:rsidR="00E06F48" w:rsidRPr="007E2581" w:rsidRDefault="008711DD" w:rsidP="00351663">
            <w:pPr>
              <w:rPr>
                <w:bCs/>
                <w:color w:val="000000" w:themeColor="text1"/>
                <w:sz w:val="20"/>
              </w:rPr>
            </w:pPr>
            <w:r w:rsidRPr="007E2581">
              <w:rPr>
                <w:bCs/>
                <w:color w:val="000000" w:themeColor="text1"/>
                <w:sz w:val="20"/>
              </w:rPr>
              <w:t>Research Paper analyzing the communication and leadership styles of an actual event to evaluate what worked and what did not work (in terms of messaging and problem solving) during the recovery phase</w:t>
            </w:r>
            <w:r w:rsidR="00D92D3B" w:rsidRPr="007E2581">
              <w:rPr>
                <w:bCs/>
                <w:color w:val="000000" w:themeColor="text1"/>
                <w:sz w:val="20"/>
              </w:rPr>
              <w:t xml:space="preserve"> of an international disaster</w:t>
            </w:r>
            <w:r w:rsidRPr="007E2581">
              <w:rPr>
                <w:bCs/>
                <w:color w:val="000000" w:themeColor="text1"/>
                <w:sz w:val="20"/>
              </w:rPr>
              <w:t>.</w:t>
            </w:r>
          </w:p>
          <w:p w14:paraId="5D6E7D2E" w14:textId="77777777" w:rsidR="00E06F48" w:rsidRPr="007E2581" w:rsidRDefault="00E06F48" w:rsidP="00351663">
            <w:pPr>
              <w:rPr>
                <w:bCs/>
                <w:color w:val="000000" w:themeColor="text1"/>
                <w:sz w:val="20"/>
              </w:rPr>
            </w:pPr>
          </w:p>
          <w:p w14:paraId="72C538C8" w14:textId="77777777" w:rsidR="00E06F48" w:rsidRPr="007E2581" w:rsidRDefault="00E06F48" w:rsidP="00351663">
            <w:pPr>
              <w:rPr>
                <w:bCs/>
                <w:color w:val="000000" w:themeColor="text1"/>
                <w:sz w:val="20"/>
              </w:rPr>
            </w:pPr>
            <w:r w:rsidRPr="007E2581">
              <w:rPr>
                <w:bCs/>
                <w:color w:val="000000" w:themeColor="text1"/>
                <w:sz w:val="20"/>
              </w:rPr>
              <w:t>Evaluation Process:</w:t>
            </w:r>
          </w:p>
          <w:p w14:paraId="13204027" w14:textId="77777777" w:rsidR="00E06F48" w:rsidRPr="007E2581" w:rsidRDefault="00E06F48" w:rsidP="00351663">
            <w:pPr>
              <w:rPr>
                <w:bCs/>
                <w:color w:val="000000" w:themeColor="text1"/>
                <w:sz w:val="20"/>
              </w:rPr>
            </w:pPr>
          </w:p>
          <w:p w14:paraId="785D268B" w14:textId="76DF5036" w:rsidR="008711DD" w:rsidRPr="007E2581" w:rsidRDefault="008711DD" w:rsidP="008711DD">
            <w:pPr>
              <w:rPr>
                <w:bCs/>
                <w:color w:val="000000" w:themeColor="text1"/>
                <w:sz w:val="20"/>
              </w:rPr>
            </w:pPr>
            <w:r w:rsidRPr="007E2581">
              <w:rPr>
                <w:bCs/>
                <w:color w:val="000000" w:themeColor="text1"/>
                <w:sz w:val="20"/>
              </w:rPr>
              <w:t xml:space="preserve">A </w:t>
            </w:r>
            <w:proofErr w:type="gramStart"/>
            <w:r w:rsidRPr="007E2581">
              <w:rPr>
                <w:bCs/>
                <w:color w:val="000000" w:themeColor="text1"/>
                <w:sz w:val="20"/>
              </w:rPr>
              <w:t>20 point</w:t>
            </w:r>
            <w:proofErr w:type="gramEnd"/>
            <w:r w:rsidRPr="007E2581">
              <w:rPr>
                <w:bCs/>
                <w:color w:val="000000" w:themeColor="text1"/>
                <w:sz w:val="20"/>
              </w:rPr>
              <w:t xml:space="preserve"> rubric will be used to compare the 2 concepts (Communication/Messaging and Leadership/Problem Solving) to </w:t>
            </w:r>
            <w:r w:rsidR="00FF2B5C" w:rsidRPr="007E2581">
              <w:rPr>
                <w:bCs/>
                <w:color w:val="000000" w:themeColor="text1"/>
                <w:sz w:val="20"/>
              </w:rPr>
              <w:t>two variables (</w:t>
            </w:r>
            <w:r w:rsidRPr="007E2581">
              <w:rPr>
                <w:bCs/>
                <w:color w:val="000000" w:themeColor="text1"/>
                <w:sz w:val="20"/>
              </w:rPr>
              <w:t xml:space="preserve">what worked </w:t>
            </w:r>
            <w:r w:rsidR="00FF2B5C" w:rsidRPr="007E2581">
              <w:rPr>
                <w:bCs/>
                <w:color w:val="000000" w:themeColor="text1"/>
                <w:sz w:val="20"/>
              </w:rPr>
              <w:t xml:space="preserve">well </w:t>
            </w:r>
            <w:r w:rsidRPr="007E2581">
              <w:rPr>
                <w:bCs/>
                <w:color w:val="000000" w:themeColor="text1"/>
                <w:sz w:val="20"/>
              </w:rPr>
              <w:t>and what did not work</w:t>
            </w:r>
            <w:r w:rsidR="00FF2B5C" w:rsidRPr="007E2581">
              <w:rPr>
                <w:bCs/>
                <w:color w:val="000000" w:themeColor="text1"/>
                <w:sz w:val="20"/>
              </w:rPr>
              <w:t xml:space="preserve"> well).</w:t>
            </w:r>
          </w:p>
          <w:p w14:paraId="0E1C188B" w14:textId="77777777" w:rsidR="00E06F48" w:rsidRPr="007E2581" w:rsidRDefault="00E06F48" w:rsidP="00351663">
            <w:pPr>
              <w:rPr>
                <w:bCs/>
                <w:color w:val="000000" w:themeColor="text1"/>
                <w:sz w:val="20"/>
              </w:rPr>
            </w:pPr>
          </w:p>
          <w:p w14:paraId="66E64B49" w14:textId="77777777" w:rsidR="00E06F48" w:rsidRPr="007E2581" w:rsidRDefault="00E06F48" w:rsidP="00351663">
            <w:pPr>
              <w:rPr>
                <w:bCs/>
                <w:color w:val="000000" w:themeColor="text1"/>
                <w:sz w:val="20"/>
              </w:rPr>
            </w:pPr>
            <w:r w:rsidRPr="007E2581">
              <w:rPr>
                <w:bCs/>
                <w:color w:val="000000" w:themeColor="text1"/>
                <w:sz w:val="20"/>
              </w:rPr>
              <w:t>Minimum Criteria for Success:</w:t>
            </w:r>
          </w:p>
          <w:p w14:paraId="2BE3119A" w14:textId="77777777" w:rsidR="00E06F48" w:rsidRPr="007E2581" w:rsidRDefault="00E06F48" w:rsidP="00351663">
            <w:pPr>
              <w:rPr>
                <w:bCs/>
                <w:i/>
                <w:color w:val="000000" w:themeColor="text1"/>
                <w:sz w:val="20"/>
              </w:rPr>
            </w:pPr>
          </w:p>
          <w:p w14:paraId="75E1FDD4" w14:textId="66BBB417" w:rsidR="00FF2B5C" w:rsidRPr="007E2581" w:rsidRDefault="00FF2B5C" w:rsidP="00FF2B5C">
            <w:pPr>
              <w:rPr>
                <w:bCs/>
                <w:color w:val="000000" w:themeColor="text1"/>
                <w:sz w:val="20"/>
              </w:rPr>
            </w:pPr>
            <w:r w:rsidRPr="007E2581">
              <w:rPr>
                <w:bCs/>
                <w:color w:val="000000" w:themeColor="text1"/>
                <w:sz w:val="20"/>
              </w:rPr>
              <w:t>A minimum score of 15 is required for success</w:t>
            </w:r>
          </w:p>
          <w:p w14:paraId="0DE3EEE4" w14:textId="77777777" w:rsidR="00E06F48" w:rsidRPr="007E2581" w:rsidRDefault="00E06F48" w:rsidP="00351663">
            <w:pPr>
              <w:rPr>
                <w:bCs/>
                <w:i/>
                <w:color w:val="000000" w:themeColor="text1"/>
                <w:sz w:val="20"/>
              </w:rPr>
            </w:pPr>
          </w:p>
          <w:p w14:paraId="3311018E" w14:textId="1BFD7B26" w:rsidR="00E06F48" w:rsidRPr="007E2581" w:rsidRDefault="00E06F48" w:rsidP="00351663">
            <w:pPr>
              <w:rPr>
                <w:bCs/>
                <w:color w:val="000000" w:themeColor="text1"/>
                <w:sz w:val="20"/>
              </w:rPr>
            </w:pPr>
            <w:r w:rsidRPr="007E2581">
              <w:rPr>
                <w:bCs/>
                <w:color w:val="000000" w:themeColor="text1"/>
                <w:sz w:val="20"/>
              </w:rPr>
              <w:t>Sample:</w:t>
            </w:r>
            <w:r w:rsidR="007E2581">
              <w:rPr>
                <w:bCs/>
                <w:color w:val="000000" w:themeColor="text1"/>
                <w:sz w:val="20"/>
              </w:rPr>
              <w:t xml:space="preserve"> </w:t>
            </w:r>
            <w:bookmarkStart w:id="5" w:name="_GoBack"/>
            <w:bookmarkEnd w:id="5"/>
            <w:r w:rsidR="00FF2B5C" w:rsidRPr="007E2581">
              <w:rPr>
                <w:bCs/>
                <w:color w:val="000000" w:themeColor="text1"/>
                <w:sz w:val="20"/>
                <w:szCs w:val="20"/>
              </w:rPr>
              <w:t>The entire class</w:t>
            </w:r>
          </w:p>
          <w:p w14:paraId="2E757104" w14:textId="77777777" w:rsidR="00E06F48" w:rsidRPr="00A80501" w:rsidRDefault="00E06F48" w:rsidP="00351663">
            <w:pPr>
              <w:rPr>
                <w:i/>
                <w:color w:val="0070C0"/>
                <w:sz w:val="22"/>
              </w:rPr>
            </w:pPr>
          </w:p>
        </w:tc>
        <w:tc>
          <w:tcPr>
            <w:tcW w:w="302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7E2581">
        <w:trPr>
          <w:trHeight w:val="260"/>
        </w:trPr>
        <w:tc>
          <w:tcPr>
            <w:tcW w:w="4590" w:type="dxa"/>
          </w:tcPr>
          <w:p w14:paraId="57D9E0C0" w14:textId="77777777" w:rsidR="00E06F48" w:rsidRPr="003D281E" w:rsidRDefault="00E06F48" w:rsidP="00351663">
            <w:pPr>
              <w:rPr>
                <w:b/>
                <w:sz w:val="20"/>
              </w:rPr>
            </w:pPr>
            <w:r>
              <w:rPr>
                <w:b/>
                <w:sz w:val="20"/>
              </w:rPr>
              <w:t>Course Learning Outcome</w:t>
            </w:r>
          </w:p>
        </w:tc>
        <w:tc>
          <w:tcPr>
            <w:tcW w:w="5220" w:type="dxa"/>
            <w:vMerge/>
          </w:tcPr>
          <w:p w14:paraId="5C9003DC" w14:textId="77777777" w:rsidR="00E06F48" w:rsidRPr="003D281E" w:rsidRDefault="00E06F48" w:rsidP="00351663">
            <w:pPr>
              <w:rPr>
                <w:sz w:val="22"/>
              </w:rPr>
            </w:pPr>
          </w:p>
        </w:tc>
        <w:tc>
          <w:tcPr>
            <w:tcW w:w="3021" w:type="dxa"/>
            <w:vMerge/>
          </w:tcPr>
          <w:p w14:paraId="1BF0EE29" w14:textId="77777777" w:rsidR="00E06F48" w:rsidRPr="003D281E" w:rsidRDefault="00E06F48" w:rsidP="00351663">
            <w:pPr>
              <w:rPr>
                <w:sz w:val="22"/>
              </w:rPr>
            </w:pPr>
          </w:p>
        </w:tc>
      </w:tr>
      <w:tr w:rsidR="00E06F48" w:rsidRPr="00F632F6" w14:paraId="3A9F76CC" w14:textId="77777777" w:rsidTr="007E2581">
        <w:trPr>
          <w:trHeight w:val="2393"/>
        </w:trPr>
        <w:tc>
          <w:tcPr>
            <w:tcW w:w="4590" w:type="dxa"/>
          </w:tcPr>
          <w:p w14:paraId="5A330794" w14:textId="77777777" w:rsidR="00E06F48" w:rsidRDefault="00E06F48" w:rsidP="00351663">
            <w:pPr>
              <w:rPr>
                <w:i/>
                <w:color w:val="0070C0"/>
                <w:sz w:val="20"/>
              </w:rPr>
            </w:pPr>
          </w:p>
          <w:p w14:paraId="1E1E0D1C" w14:textId="02DBC474" w:rsidR="008711DD" w:rsidRPr="007E2581" w:rsidRDefault="003F0A05" w:rsidP="007E2581">
            <w:pPr>
              <w:jc w:val="both"/>
              <w:rPr>
                <w:bCs/>
                <w:color w:val="000000" w:themeColor="text1"/>
                <w:sz w:val="20"/>
                <w:szCs w:val="20"/>
              </w:rPr>
            </w:pPr>
            <w:r w:rsidRPr="007E2581">
              <w:rPr>
                <w:bCs/>
                <w:color w:val="000000" w:themeColor="text1"/>
                <w:sz w:val="20"/>
                <w:szCs w:val="20"/>
              </w:rPr>
              <w:t xml:space="preserve">Students will be able to </w:t>
            </w:r>
            <w:bookmarkStart w:id="6" w:name="_Hlk30654747"/>
            <w:r w:rsidRPr="007E2581">
              <w:rPr>
                <w:bCs/>
                <w:color w:val="000000" w:themeColor="text1"/>
                <w:sz w:val="20"/>
                <w:szCs w:val="20"/>
              </w:rPr>
              <w:t>s</w:t>
            </w:r>
            <w:r w:rsidR="008711DD" w:rsidRPr="007E2581">
              <w:rPr>
                <w:bCs/>
                <w:color w:val="000000" w:themeColor="text1"/>
                <w:sz w:val="20"/>
                <w:szCs w:val="20"/>
              </w:rPr>
              <w:t>ummarize the importance of being able to adapt to, prepare for and lead change based on one’s cultural perspective and awareness of other perspectives to solve problems that will save lives and property during disaster recovery.</w:t>
            </w:r>
            <w:r w:rsidR="00AE47F9" w:rsidRPr="007E2581">
              <w:rPr>
                <w:bCs/>
                <w:color w:val="000000" w:themeColor="text1"/>
                <w:sz w:val="20"/>
                <w:szCs w:val="20"/>
              </w:rPr>
              <w:t xml:space="preserve"> By analyzing After-Action reports written by the Office of US Foreign Disaster Assistance related to international disaster, individuals will evaluate what took place in terms of communication and leadership and analyze how both could have been improved upon to foster a better international team willing to work together to help victims recovery from a disaster and provide their opinion if they could take those steps (tin communication and leadership) themselves to inspire a diverse team of first responders.</w:t>
            </w:r>
            <w:bookmarkEnd w:id="6"/>
          </w:p>
        </w:tc>
        <w:tc>
          <w:tcPr>
            <w:tcW w:w="5220" w:type="dxa"/>
            <w:vMerge/>
          </w:tcPr>
          <w:p w14:paraId="01E9AE03" w14:textId="77777777" w:rsidR="00E06F48" w:rsidRPr="003D281E" w:rsidRDefault="00E06F48" w:rsidP="00351663">
            <w:pPr>
              <w:rPr>
                <w:sz w:val="22"/>
              </w:rPr>
            </w:pPr>
          </w:p>
        </w:tc>
        <w:tc>
          <w:tcPr>
            <w:tcW w:w="302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FFA0" w14:textId="77777777" w:rsidR="00D832EF" w:rsidRDefault="00D832EF">
      <w:r>
        <w:separator/>
      </w:r>
    </w:p>
  </w:endnote>
  <w:endnote w:type="continuationSeparator" w:id="0">
    <w:p w14:paraId="3F889D90" w14:textId="77777777" w:rsidR="00D832EF" w:rsidRDefault="00D8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2E6A3D">
      <w:rPr>
        <w:rStyle w:val="PageNumber"/>
        <w:noProof/>
        <w:sz w:val="20"/>
      </w:rPr>
      <w:t>4</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EED9" w14:textId="77777777" w:rsidR="00D832EF" w:rsidRDefault="00D832EF">
      <w:r>
        <w:separator/>
      </w:r>
    </w:p>
  </w:footnote>
  <w:footnote w:type="continuationSeparator" w:id="0">
    <w:p w14:paraId="520A314F" w14:textId="77777777" w:rsidR="00D832EF" w:rsidRDefault="00D8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7B5DFCAA" w:rsidR="007821C4" w:rsidRPr="00581F94" w:rsidRDefault="007821C4" w:rsidP="00351663">
    <w:pPr>
      <w:rPr>
        <w:sz w:val="20"/>
      </w:rPr>
    </w:pPr>
    <w:r w:rsidRPr="00581F94">
      <w:rPr>
        <w:sz w:val="20"/>
      </w:rPr>
      <w:t xml:space="preserve">Course:  </w:t>
    </w:r>
    <w:r w:rsidR="0073131B" w:rsidRPr="007E2581">
      <w:rPr>
        <w:color w:val="000000" w:themeColor="text1"/>
        <w:sz w:val="20"/>
      </w:rPr>
      <w:t>PHC 4</w:t>
    </w:r>
    <w:r w:rsidR="0020277F" w:rsidRPr="007E2581">
      <w:rPr>
        <w:color w:val="000000" w:themeColor="text1"/>
        <w:sz w:val="20"/>
      </w:rPr>
      <w:t>250</w:t>
    </w:r>
    <w:r w:rsidR="0073131B" w:rsidRPr="007E2581">
      <w:rPr>
        <w:color w:val="000000" w:themeColor="text1"/>
        <w:sz w:val="20"/>
      </w:rPr>
      <w:t xml:space="preserve"> Crisis Leadership in Disasters</w:t>
    </w:r>
    <w:r w:rsidRPr="00581F94">
      <w:rPr>
        <w:sz w:val="20"/>
      </w:rPr>
      <w:tab/>
    </w:r>
  </w:p>
  <w:p w14:paraId="2BB58D01" w14:textId="59F23B17" w:rsidR="007821C4" w:rsidRPr="00581F94" w:rsidRDefault="007821C4" w:rsidP="00351663">
    <w:pPr>
      <w:rPr>
        <w:sz w:val="20"/>
      </w:rPr>
    </w:pPr>
    <w:r w:rsidRPr="00581F94">
      <w:rPr>
        <w:sz w:val="20"/>
      </w:rPr>
      <w:t>Academic Unit:</w:t>
    </w:r>
    <w:r w:rsidRPr="00581F94">
      <w:rPr>
        <w:sz w:val="20"/>
      </w:rPr>
      <w:tab/>
    </w:r>
    <w:r w:rsidR="002D39F6">
      <w:rPr>
        <w:sz w:val="20"/>
      </w:rPr>
      <w:t>Disaster Management</w:t>
    </w:r>
    <w:r w:rsidR="002D39F6">
      <w:rPr>
        <w:sz w:val="20"/>
      </w:rPr>
      <w:tab/>
    </w:r>
    <w:r w:rsidR="002D39F6">
      <w:rPr>
        <w:sz w:val="20"/>
      </w:rPr>
      <w:tab/>
      <w:t>Degree Program: BA Disaster Management</w:t>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5ADF"/>
    <w:multiLevelType w:val="hybridMultilevel"/>
    <w:tmpl w:val="D5B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D50"/>
    <w:rsid w:val="00006426"/>
    <w:rsid w:val="00033DC1"/>
    <w:rsid w:val="0006192E"/>
    <w:rsid w:val="000C4B42"/>
    <w:rsid w:val="0020277F"/>
    <w:rsid w:val="002434C6"/>
    <w:rsid w:val="002B219E"/>
    <w:rsid w:val="002D39F6"/>
    <w:rsid w:val="002E6A3D"/>
    <w:rsid w:val="00327B81"/>
    <w:rsid w:val="00345845"/>
    <w:rsid w:val="00351663"/>
    <w:rsid w:val="003E132D"/>
    <w:rsid w:val="003F0A05"/>
    <w:rsid w:val="003F3DB7"/>
    <w:rsid w:val="00426C3E"/>
    <w:rsid w:val="00445D50"/>
    <w:rsid w:val="004E35D6"/>
    <w:rsid w:val="00521FFD"/>
    <w:rsid w:val="00581F94"/>
    <w:rsid w:val="005C58EB"/>
    <w:rsid w:val="006A06CE"/>
    <w:rsid w:val="006F77DC"/>
    <w:rsid w:val="0073131B"/>
    <w:rsid w:val="007505D0"/>
    <w:rsid w:val="007821C4"/>
    <w:rsid w:val="00792DF1"/>
    <w:rsid w:val="00795F81"/>
    <w:rsid w:val="007D00A2"/>
    <w:rsid w:val="007D21C5"/>
    <w:rsid w:val="007E2581"/>
    <w:rsid w:val="007E429E"/>
    <w:rsid w:val="008711DD"/>
    <w:rsid w:val="0088421A"/>
    <w:rsid w:val="008E2DC9"/>
    <w:rsid w:val="00917914"/>
    <w:rsid w:val="00943D59"/>
    <w:rsid w:val="00A53788"/>
    <w:rsid w:val="00AC0EAD"/>
    <w:rsid w:val="00AE165F"/>
    <w:rsid w:val="00AE47F9"/>
    <w:rsid w:val="00B41437"/>
    <w:rsid w:val="00B8549A"/>
    <w:rsid w:val="00B95595"/>
    <w:rsid w:val="00BB3C3B"/>
    <w:rsid w:val="00C85AD3"/>
    <w:rsid w:val="00C9280A"/>
    <w:rsid w:val="00D46EE4"/>
    <w:rsid w:val="00D752D6"/>
    <w:rsid w:val="00D832EF"/>
    <w:rsid w:val="00D92D3B"/>
    <w:rsid w:val="00DA5804"/>
    <w:rsid w:val="00DC61D0"/>
    <w:rsid w:val="00E06F48"/>
    <w:rsid w:val="00E37DB2"/>
    <w:rsid w:val="00E6631C"/>
    <w:rsid w:val="00F32A7A"/>
    <w:rsid w:val="00F45ECC"/>
    <w:rsid w:val="00FD3E31"/>
    <w:rsid w:val="00FF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AD87142F-801A-FE43-BB8A-57FC4D0A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1"/>
    <w:qFormat/>
    <w:rsid w:val="002D39F6"/>
    <w:pPr>
      <w:pBdr>
        <w:top w:val="nil"/>
        <w:left w:val="nil"/>
        <w:bottom w:val="nil"/>
        <w:right w:val="nil"/>
        <w:between w:val="nil"/>
      </w:pBdr>
      <w:spacing w:line="276" w:lineRule="auto"/>
      <w:ind w:left="720"/>
      <w:contextualSpacing/>
    </w:pPr>
    <w:rPr>
      <w:rFonts w:eastAsia="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2019-11-21T17:28:00Z</cp:lastPrinted>
  <dcterms:created xsi:type="dcterms:W3CDTF">2020-03-04T17:23:00Z</dcterms:created>
  <dcterms:modified xsi:type="dcterms:W3CDTF">2020-03-04T17:23:00Z</dcterms:modified>
</cp:coreProperties>
</file>