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DCB1" w14:textId="77777777" w:rsidR="00CE7059" w:rsidRPr="00FD3E31" w:rsidRDefault="00CE7059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07"/>
        <w:gridCol w:w="4379"/>
      </w:tblGrid>
      <w:tr w:rsidR="00E06F48" w:rsidRPr="00F632F6" w14:paraId="6C6B1AF3" w14:textId="77777777" w:rsidTr="00642A12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07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79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642A12">
        <w:trPr>
          <w:trHeight w:val="1140"/>
        </w:trPr>
        <w:tc>
          <w:tcPr>
            <w:tcW w:w="4145" w:type="dxa"/>
          </w:tcPr>
          <w:p w14:paraId="63F5D3C9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8CABB6E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  <w:u w:val="single"/>
              </w:rPr>
              <w:t>Global Awareness:</w:t>
            </w:r>
            <w:r w:rsidRPr="002F5DF9">
              <w:rPr>
                <w:rFonts w:cs="Arial"/>
                <w:sz w:val="20"/>
                <w:szCs w:val="20"/>
              </w:rPr>
              <w:t xml:space="preserve"> </w:t>
            </w:r>
            <w:r w:rsidR="003F3DB7" w:rsidRPr="002F5DF9">
              <w:rPr>
                <w:rFonts w:cs="Arial"/>
                <w:sz w:val="20"/>
                <w:szCs w:val="20"/>
              </w:rPr>
              <w:t>Students will be able to demonstrate k</w:t>
            </w:r>
            <w:r w:rsidRPr="002F5DF9">
              <w:rPr>
                <w:rFonts w:cs="Arial"/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2F5DF9">
              <w:rPr>
                <w:rFonts w:cs="Arial"/>
                <w:sz w:val="20"/>
                <w:szCs w:val="20"/>
              </w:rPr>
              <w:t>.</w:t>
            </w:r>
          </w:p>
          <w:p w14:paraId="44855D00" w14:textId="77777777" w:rsidR="00E06F48" w:rsidRPr="002F5DF9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07" w:type="dxa"/>
            <w:vMerge w:val="restart"/>
          </w:tcPr>
          <w:p w14:paraId="7F0D8583" w14:textId="653FEDD4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Assessment Activity/Artifact:</w:t>
            </w:r>
          </w:p>
          <w:p w14:paraId="473E66D8" w14:textId="3FFC3719" w:rsidR="00031763" w:rsidRPr="002F5DF9" w:rsidRDefault="00031763" w:rsidP="002F5DF9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 xml:space="preserve">Students in groups (or individually), </w:t>
            </w:r>
          </w:p>
          <w:p w14:paraId="31657AB9" w14:textId="77777777" w:rsidR="00D826C9" w:rsidRPr="002F5DF9" w:rsidRDefault="00D826C9" w:rsidP="002F5DF9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5DF9">
              <w:rPr>
                <w:rFonts w:ascii="Arial" w:hAnsi="Arial" w:cs="Arial"/>
                <w:sz w:val="20"/>
                <w:szCs w:val="20"/>
              </w:rPr>
              <w:t>Interview a local nurse leader/manager in their workplace or clinical rotation site</w:t>
            </w:r>
          </w:p>
          <w:p w14:paraId="1D21E8CB" w14:textId="546E512B" w:rsidR="00D826C9" w:rsidRPr="002F5DF9" w:rsidRDefault="00D826C9" w:rsidP="002F5DF9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5DF9">
              <w:rPr>
                <w:rFonts w:ascii="Arial" w:hAnsi="Arial" w:cs="Arial"/>
                <w:sz w:val="20"/>
                <w:szCs w:val="20"/>
              </w:rPr>
              <w:t xml:space="preserve">Research specific leadership style based on </w:t>
            </w:r>
            <w:r w:rsidR="00B077D6" w:rsidRPr="002F5DF9">
              <w:rPr>
                <w:rFonts w:ascii="Arial" w:hAnsi="Arial" w:cs="Arial"/>
                <w:sz w:val="20"/>
                <w:szCs w:val="20"/>
              </w:rPr>
              <w:t>the interview</w:t>
            </w:r>
          </w:p>
          <w:p w14:paraId="0CAD9397" w14:textId="087E200D" w:rsidR="00E06F48" w:rsidRDefault="00D826C9" w:rsidP="002F5DF9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5DF9">
              <w:rPr>
                <w:rFonts w:ascii="Arial" w:hAnsi="Arial" w:cs="Arial"/>
                <w:sz w:val="20"/>
                <w:szCs w:val="20"/>
              </w:rPr>
              <w:t xml:space="preserve">Research a </w:t>
            </w:r>
            <w:r w:rsidR="00031763" w:rsidRPr="002F5DF9">
              <w:rPr>
                <w:rFonts w:ascii="Arial" w:hAnsi="Arial" w:cs="Arial"/>
                <w:sz w:val="20"/>
                <w:szCs w:val="20"/>
              </w:rPr>
              <w:t xml:space="preserve">local, </w:t>
            </w:r>
            <w:r w:rsidRPr="002F5DF9">
              <w:rPr>
                <w:rFonts w:ascii="Arial" w:hAnsi="Arial" w:cs="Arial"/>
                <w:sz w:val="20"/>
                <w:szCs w:val="20"/>
              </w:rPr>
              <w:t>national,</w:t>
            </w:r>
            <w:r w:rsidR="00031763" w:rsidRPr="002F5DF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2F5DF9">
              <w:rPr>
                <w:rFonts w:ascii="Arial" w:hAnsi="Arial" w:cs="Arial"/>
                <w:sz w:val="20"/>
                <w:szCs w:val="20"/>
              </w:rPr>
              <w:t>international nurse leader and delineate works that influence nursing and health care system as it is today.</w:t>
            </w:r>
          </w:p>
          <w:p w14:paraId="15D29FFD" w14:textId="77777777" w:rsidR="002F5DF9" w:rsidRPr="002F5DF9" w:rsidRDefault="002F5DF9" w:rsidP="002F5DF9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4D312735" w14:textId="628C5919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Evaluation Process:</w:t>
            </w:r>
          </w:p>
          <w:p w14:paraId="215F3F45" w14:textId="7596566A" w:rsidR="00E06F48" w:rsidRPr="002F5DF9" w:rsidRDefault="00D826C9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This learning outcome will be evaluated by means of a rubric that scores on a scale of 1-Poor; 2-Novice; 3-Competent; 4-Proficient. The grading components are: Content, Organization, Creativity and elements of design, and Post (</w:t>
            </w:r>
            <w:proofErr w:type="spellStart"/>
            <w:r w:rsidRPr="002F5DF9">
              <w:rPr>
                <w:rFonts w:cs="Arial"/>
                <w:sz w:val="20"/>
                <w:szCs w:val="20"/>
              </w:rPr>
              <w:t>ing</w:t>
            </w:r>
            <w:proofErr w:type="spellEnd"/>
            <w:r w:rsidRPr="002F5DF9">
              <w:rPr>
                <w:rFonts w:cs="Arial"/>
                <w:sz w:val="20"/>
                <w:szCs w:val="20"/>
              </w:rPr>
              <w:t xml:space="preserve">) Protocol. The rubric totals 15 points. </w:t>
            </w:r>
          </w:p>
          <w:p w14:paraId="5E0AF4E2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6C02B30" w14:textId="1718C356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Minimum Criteria for Success:</w:t>
            </w:r>
          </w:p>
          <w:p w14:paraId="34A3C146" w14:textId="32241A3B" w:rsidR="00E06F48" w:rsidRDefault="00D826C9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The minimum score for success is a total score of 11.5 on rubric</w:t>
            </w:r>
          </w:p>
          <w:p w14:paraId="3E51E769" w14:textId="77777777" w:rsidR="002F5DF9" w:rsidRPr="002F5DF9" w:rsidRDefault="002F5DF9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0DC2024" w14:textId="2E0F2286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Sample:</w:t>
            </w:r>
          </w:p>
          <w:p w14:paraId="37C9BC73" w14:textId="608AD3FB" w:rsidR="00E06F48" w:rsidRPr="002F5DF9" w:rsidRDefault="00D826C9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All students will be assessed.</w:t>
            </w:r>
          </w:p>
          <w:p w14:paraId="514F6A88" w14:textId="77777777" w:rsidR="00E06F48" w:rsidRPr="002F5DF9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79" w:type="dxa"/>
            <w:vMerge w:val="restart"/>
          </w:tcPr>
          <w:p w14:paraId="0928A36C" w14:textId="39B46424" w:rsidR="00E06F48" w:rsidRPr="00D826C9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642A12">
        <w:trPr>
          <w:trHeight w:val="287"/>
        </w:trPr>
        <w:tc>
          <w:tcPr>
            <w:tcW w:w="4145" w:type="dxa"/>
          </w:tcPr>
          <w:p w14:paraId="268FDF94" w14:textId="77777777" w:rsidR="00E06F48" w:rsidRPr="002F5DF9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07" w:type="dxa"/>
            <w:vMerge/>
          </w:tcPr>
          <w:p w14:paraId="7880F95E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9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642A12">
        <w:trPr>
          <w:trHeight w:val="2393"/>
        </w:trPr>
        <w:tc>
          <w:tcPr>
            <w:tcW w:w="4145" w:type="dxa"/>
          </w:tcPr>
          <w:p w14:paraId="314CFD22" w14:textId="4AB27C6C" w:rsidR="00D826C9" w:rsidRPr="002F5DF9" w:rsidRDefault="00D826C9" w:rsidP="00D826C9">
            <w:pPr>
              <w:rPr>
                <w:rStyle w:val="Strong"/>
                <w:rFonts w:cs="Arial"/>
                <w:b w:val="0"/>
                <w:color w:val="FF0000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 xml:space="preserve">Students will be able to demonstrate knowledge of the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interrelatedness of present and past local, national, and global nursing leadership </w:t>
            </w:r>
            <w:r w:rsidR="00031763"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concepts and skills,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>as they pertain to contemporary nursin</w:t>
            </w:r>
            <w:r w:rsidR="00031763"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g leadership and management in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>turbulent, complex and changing health care environments.</w:t>
            </w:r>
          </w:p>
          <w:p w14:paraId="0C2C79FF" w14:textId="77777777" w:rsidR="00D826C9" w:rsidRPr="002F5DF9" w:rsidRDefault="00D826C9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07" w:type="dxa"/>
            <w:vMerge/>
          </w:tcPr>
          <w:p w14:paraId="2150D560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9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6D0269ED" w:rsidR="00D826C9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641E87B3" w14:textId="77777777" w:rsidR="002D7397" w:rsidRDefault="002D7397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2F5DF9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  <w:p w14:paraId="4A2E2893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2F5DF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2F5DF9">
              <w:rPr>
                <w:rFonts w:cs="Arial"/>
                <w:sz w:val="20"/>
                <w:szCs w:val="20"/>
              </w:rPr>
              <w:t xml:space="preserve">Students will be able to </w:t>
            </w:r>
            <w:r w:rsidR="00C85AD3" w:rsidRPr="002F5DF9">
              <w:rPr>
                <w:rFonts w:cs="Arial"/>
                <w:sz w:val="20"/>
                <w:szCs w:val="20"/>
              </w:rPr>
              <w:t>conduct</w:t>
            </w:r>
            <w:r w:rsidRPr="002F5DF9">
              <w:rPr>
                <w:rFonts w:cs="Arial"/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2F5DF9">
              <w:rPr>
                <w:rFonts w:cs="Arial"/>
                <w:sz w:val="20"/>
                <w:szCs w:val="20"/>
              </w:rPr>
              <w:t>.</w:t>
            </w:r>
          </w:p>
          <w:p w14:paraId="67D76D5C" w14:textId="77777777" w:rsidR="00E06F48" w:rsidRPr="002F5DF9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319F4F8" w14:textId="34AD5561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Assessment Activity/Artifact:</w:t>
            </w:r>
          </w:p>
          <w:p w14:paraId="052E4B43" w14:textId="3565F145" w:rsidR="00E06F48" w:rsidRPr="002F5DF9" w:rsidRDefault="00E57E4E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In groups</w:t>
            </w:r>
            <w:r w:rsidR="00031763" w:rsidRPr="002F5DF9">
              <w:rPr>
                <w:rFonts w:cs="Arial"/>
                <w:sz w:val="20"/>
                <w:szCs w:val="20"/>
              </w:rPr>
              <w:t xml:space="preserve"> (or individually)</w:t>
            </w:r>
            <w:r w:rsidRPr="002F5DF9">
              <w:rPr>
                <w:rFonts w:cs="Arial"/>
                <w:sz w:val="20"/>
                <w:szCs w:val="20"/>
              </w:rPr>
              <w:t>, students will research on the prevailing health care system of the US and their c</w:t>
            </w:r>
            <w:r w:rsidR="00031763" w:rsidRPr="002F5DF9">
              <w:rPr>
                <w:rFonts w:cs="Arial"/>
                <w:sz w:val="20"/>
                <w:szCs w:val="20"/>
              </w:rPr>
              <w:t xml:space="preserve">ountry of choice and its influence </w:t>
            </w:r>
            <w:r w:rsidRPr="002F5DF9">
              <w:rPr>
                <w:rFonts w:cs="Arial"/>
                <w:sz w:val="20"/>
                <w:szCs w:val="20"/>
              </w:rPr>
              <w:t xml:space="preserve">on nursing </w:t>
            </w:r>
            <w:r w:rsidR="00031763" w:rsidRPr="002F5DF9">
              <w:rPr>
                <w:rFonts w:cs="Arial"/>
                <w:sz w:val="20"/>
                <w:szCs w:val="20"/>
              </w:rPr>
              <w:t xml:space="preserve">education, practice, leadership and management. </w:t>
            </w:r>
          </w:p>
          <w:p w14:paraId="08E69090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A9DB4E3" w14:textId="06EA1472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Evaluation Process:</w:t>
            </w:r>
          </w:p>
          <w:p w14:paraId="48638B58" w14:textId="2EA54099" w:rsidR="00E06F48" w:rsidRPr="002F5DF9" w:rsidRDefault="00E57E4E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This learning outcome will be evaluated by means of a rubric that scores on a scale of 1-Poor; 2-Novice; 3-Competent; 4-Proficient. The grading components are: Content, Organization, Creativity and elements of design, and Post (</w:t>
            </w:r>
            <w:proofErr w:type="spellStart"/>
            <w:r w:rsidRPr="002F5DF9">
              <w:rPr>
                <w:rFonts w:cs="Arial"/>
                <w:sz w:val="20"/>
                <w:szCs w:val="20"/>
              </w:rPr>
              <w:t>ing</w:t>
            </w:r>
            <w:proofErr w:type="spellEnd"/>
            <w:r w:rsidRPr="002F5DF9">
              <w:rPr>
                <w:rFonts w:cs="Arial"/>
                <w:sz w:val="20"/>
                <w:szCs w:val="20"/>
              </w:rPr>
              <w:t xml:space="preserve">) Protocol. The rubric totals 15 points. </w:t>
            </w:r>
          </w:p>
          <w:p w14:paraId="5D1F198D" w14:textId="77777777" w:rsidR="002F5DF9" w:rsidRDefault="002F5DF9" w:rsidP="00351663">
            <w:pPr>
              <w:rPr>
                <w:rFonts w:cs="Arial"/>
                <w:sz w:val="20"/>
                <w:szCs w:val="20"/>
              </w:rPr>
            </w:pPr>
          </w:p>
          <w:p w14:paraId="2DE590D4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Minimum Criteria for Success:</w:t>
            </w:r>
          </w:p>
          <w:p w14:paraId="215E4D2E" w14:textId="0C8908E1" w:rsidR="00E06F48" w:rsidRPr="002F5DF9" w:rsidRDefault="00E57E4E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The minimum score for success is a total score of 11.5 on rubric.</w:t>
            </w:r>
          </w:p>
          <w:p w14:paraId="1F9CE4FD" w14:textId="77777777" w:rsidR="00E06F48" w:rsidRPr="002F5DF9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61098E28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Sample:</w:t>
            </w:r>
          </w:p>
          <w:p w14:paraId="04A00A2D" w14:textId="77777777" w:rsidR="00E06F48" w:rsidRDefault="00E57E4E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All students were assessed.</w:t>
            </w:r>
          </w:p>
          <w:p w14:paraId="0AB3134D" w14:textId="77777777" w:rsidR="00642A12" w:rsidRDefault="00642A12" w:rsidP="00351663">
            <w:pPr>
              <w:rPr>
                <w:rFonts w:cs="Arial"/>
                <w:sz w:val="20"/>
                <w:szCs w:val="20"/>
              </w:rPr>
            </w:pPr>
          </w:p>
          <w:p w14:paraId="12F8383C" w14:textId="77777777" w:rsidR="00642A12" w:rsidRDefault="00642A12" w:rsidP="00351663">
            <w:pPr>
              <w:rPr>
                <w:rFonts w:cs="Arial"/>
                <w:sz w:val="20"/>
                <w:szCs w:val="20"/>
              </w:rPr>
            </w:pPr>
          </w:p>
          <w:p w14:paraId="27031866" w14:textId="3501409C" w:rsidR="00642A12" w:rsidRPr="002F5DF9" w:rsidRDefault="00642A12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3D6EC63A" w14:textId="7D158DA3" w:rsidR="00E06F48" w:rsidRPr="00E57E4E" w:rsidRDefault="00B95595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E57E4E" w:rsidRDefault="00E06F48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3D9802" w14:textId="77777777" w:rsidR="00E06F48" w:rsidRPr="00E57E4E" w:rsidRDefault="00E06F48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2F5DF9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24A6B5B9" w14:textId="73EFF56F" w:rsidR="00031763" w:rsidRPr="002F5DF9" w:rsidRDefault="00E57E4E" w:rsidP="00351663">
            <w:pPr>
              <w:rPr>
                <w:rStyle w:val="Strong"/>
                <w:rFonts w:cs="Arial"/>
                <w:b w:val="0"/>
                <w:color w:val="4F81BD" w:themeColor="accent1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Students will</w:t>
            </w:r>
            <w:r w:rsidRPr="002F5DF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conduct a multi-perspective analysis of </w:t>
            </w:r>
            <w:r w:rsidR="00031763" w:rsidRPr="002F5DF9">
              <w:rPr>
                <w:rStyle w:val="Strong"/>
                <w:rFonts w:cs="Arial"/>
                <w:b w:val="0"/>
                <w:sz w:val="20"/>
                <w:szCs w:val="20"/>
              </w:rPr>
              <w:t>health care issues impacted by country-specific health care systems and comparing the influence of different health care systems on nursing education, practice, leadership and management</w:t>
            </w:r>
            <w:r w:rsidR="00031763" w:rsidRPr="002F5DF9">
              <w:rPr>
                <w:rStyle w:val="Strong"/>
                <w:rFonts w:cs="Arial"/>
                <w:b w:val="0"/>
                <w:color w:val="4F81BD" w:themeColor="accent1"/>
                <w:sz w:val="20"/>
                <w:szCs w:val="20"/>
              </w:rPr>
              <w:t>.</w:t>
            </w:r>
          </w:p>
          <w:p w14:paraId="3E541137" w14:textId="57A7864E" w:rsidR="00E57E4E" w:rsidRPr="002F5DF9" w:rsidRDefault="00E57E4E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0C1877E4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0834FB8B" w14:textId="77777777" w:rsidR="00942FE2" w:rsidRDefault="00942FE2" w:rsidP="00942FE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3A2B35F" w14:textId="77777777" w:rsidR="00642A12" w:rsidRDefault="00642A12" w:rsidP="00942FE2">
            <w:pPr>
              <w:rPr>
                <w:b/>
              </w:rPr>
            </w:pPr>
          </w:p>
          <w:p w14:paraId="43C84656" w14:textId="77777777" w:rsidR="00642A12" w:rsidRDefault="00642A12" w:rsidP="00942FE2">
            <w:pPr>
              <w:rPr>
                <w:b/>
              </w:rPr>
            </w:pPr>
          </w:p>
          <w:p w14:paraId="753F30C6" w14:textId="77777777" w:rsidR="00642A12" w:rsidRDefault="00642A12" w:rsidP="00942FE2">
            <w:pPr>
              <w:rPr>
                <w:b/>
              </w:rPr>
            </w:pPr>
          </w:p>
          <w:p w14:paraId="143F0C7A" w14:textId="77777777" w:rsidR="00642A12" w:rsidRDefault="00642A12" w:rsidP="00942FE2">
            <w:pPr>
              <w:rPr>
                <w:b/>
              </w:rPr>
            </w:pPr>
          </w:p>
          <w:p w14:paraId="51CE5134" w14:textId="77777777" w:rsidR="00642A12" w:rsidRDefault="00642A12" w:rsidP="00942FE2">
            <w:pPr>
              <w:rPr>
                <w:b/>
              </w:rPr>
            </w:pPr>
          </w:p>
          <w:p w14:paraId="5680A724" w14:textId="40951ACB" w:rsidR="00642A12" w:rsidRPr="00C01161" w:rsidRDefault="00642A12" w:rsidP="00942FE2">
            <w:pPr>
              <w:rPr>
                <w:i/>
                <w:color w:val="0070C0"/>
                <w:sz w:val="20"/>
              </w:rPr>
            </w:pP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7176936B" w14:textId="77777777" w:rsidR="002D7397" w:rsidRDefault="002D7397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37"/>
        <w:gridCol w:w="3749"/>
      </w:tblGrid>
      <w:tr w:rsidR="00642A12" w:rsidRPr="00F632F6" w14:paraId="7CEE1F7C" w14:textId="77777777" w:rsidTr="00642A12">
        <w:trPr>
          <w:trHeight w:val="503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937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49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642A12" w:rsidRPr="00F632F6" w14:paraId="1A29FCF4" w14:textId="77777777" w:rsidTr="00642A12">
        <w:trPr>
          <w:trHeight w:val="1140"/>
        </w:trPr>
        <w:tc>
          <w:tcPr>
            <w:tcW w:w="4145" w:type="dxa"/>
          </w:tcPr>
          <w:p w14:paraId="563AC212" w14:textId="77777777" w:rsidR="00E06F48" w:rsidRPr="002F5DF9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7340747" w14:textId="77777777" w:rsidR="00E06F48" w:rsidRPr="002F5DF9" w:rsidRDefault="00E06F48" w:rsidP="00351663">
            <w:pPr>
              <w:rPr>
                <w:rFonts w:cs="Arial"/>
                <w:color w:val="0070C0"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  <w:u w:val="single"/>
              </w:rPr>
              <w:t>Global Engagement</w:t>
            </w:r>
            <w:r w:rsidRPr="002F5DF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2F5DF9">
              <w:rPr>
                <w:rFonts w:cs="Arial"/>
                <w:sz w:val="20"/>
                <w:szCs w:val="20"/>
              </w:rPr>
              <w:t>Students will be able to demonstrate w</w:t>
            </w:r>
            <w:r w:rsidRPr="002F5DF9">
              <w:rPr>
                <w:rFonts w:cs="Arial"/>
                <w:sz w:val="20"/>
                <w:szCs w:val="20"/>
              </w:rPr>
              <w:t>illingness to engage in local, global, international, and intercultural problem solving</w:t>
            </w:r>
            <w:r w:rsidR="003F3DB7" w:rsidRPr="002F5DF9">
              <w:rPr>
                <w:rFonts w:cs="Arial"/>
                <w:sz w:val="20"/>
                <w:szCs w:val="20"/>
              </w:rPr>
              <w:t>.</w:t>
            </w:r>
          </w:p>
          <w:p w14:paraId="1208075D" w14:textId="77777777" w:rsidR="00E06F48" w:rsidRPr="002F5DF9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937" w:type="dxa"/>
            <w:vMerge w:val="restart"/>
          </w:tcPr>
          <w:p w14:paraId="34B3E5EE" w14:textId="1EB3804D" w:rsidR="00E06F48" w:rsidRPr="002F5DF9" w:rsidRDefault="00E06F48" w:rsidP="002F5DF9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Assessment Activity/Artifact:</w:t>
            </w:r>
          </w:p>
          <w:p w14:paraId="6D07C557" w14:textId="6A97C8DB" w:rsidR="00250706" w:rsidRPr="002F5DF9" w:rsidRDefault="00250706" w:rsidP="002F5DF9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5DF9">
              <w:rPr>
                <w:rFonts w:ascii="Arial" w:hAnsi="Arial" w:cs="Arial"/>
                <w:sz w:val="20"/>
                <w:szCs w:val="20"/>
              </w:rPr>
              <w:t>In groups</w:t>
            </w:r>
            <w:r w:rsidR="00E901F1" w:rsidRPr="002F5DF9">
              <w:rPr>
                <w:rFonts w:ascii="Arial" w:hAnsi="Arial" w:cs="Arial"/>
                <w:sz w:val="20"/>
                <w:szCs w:val="20"/>
              </w:rPr>
              <w:t xml:space="preserve"> (or individually)</w:t>
            </w:r>
            <w:r w:rsidRPr="002F5DF9">
              <w:rPr>
                <w:rFonts w:ascii="Arial" w:hAnsi="Arial" w:cs="Arial"/>
                <w:sz w:val="20"/>
                <w:szCs w:val="20"/>
              </w:rPr>
              <w:t xml:space="preserve">, students will research and choose current health issues or problems that they feel are important to them or the health of the community. </w:t>
            </w:r>
          </w:p>
          <w:p w14:paraId="5D6E7D2E" w14:textId="5535AAE6" w:rsidR="00E06F48" w:rsidRPr="002F5DF9" w:rsidRDefault="00250706" w:rsidP="0035166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5DF9">
              <w:rPr>
                <w:rFonts w:ascii="Arial" w:hAnsi="Arial" w:cs="Arial"/>
                <w:sz w:val="20"/>
                <w:szCs w:val="20"/>
              </w:rPr>
              <w:t xml:space="preserve">Students will either: a) develop an elevator speech that will be presented to their particular legislator; b) send a letter to their local House Rep or Senator about the health issue the students are interested.  Templates will be provided to the students. </w:t>
            </w:r>
          </w:p>
          <w:p w14:paraId="0D2422A6" w14:textId="77777777" w:rsidR="002F5DF9" w:rsidRDefault="002F5DF9" w:rsidP="00351663">
            <w:pPr>
              <w:rPr>
                <w:rFonts w:cs="Arial"/>
                <w:sz w:val="20"/>
                <w:szCs w:val="20"/>
              </w:rPr>
            </w:pPr>
          </w:p>
          <w:p w14:paraId="46B437FE" w14:textId="0F6A37B0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Evaluation Process:</w:t>
            </w:r>
          </w:p>
          <w:p w14:paraId="0AD4D2AF" w14:textId="4C895616" w:rsidR="00E06F48" w:rsidRPr="002F5DF9" w:rsidRDefault="00250706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This learning outcome will be evaluated by means of a rubric that scores on a scale of 1-Poor; 2-Novice; 3-Competent; 4-Proficient. The grading components are: Content, Organization, Creativity and elements of design, and Post (</w:t>
            </w:r>
            <w:proofErr w:type="spellStart"/>
            <w:r w:rsidRPr="002F5DF9">
              <w:rPr>
                <w:rFonts w:cs="Arial"/>
                <w:sz w:val="20"/>
                <w:szCs w:val="20"/>
              </w:rPr>
              <w:t>ing</w:t>
            </w:r>
            <w:proofErr w:type="spellEnd"/>
            <w:r w:rsidRPr="002F5DF9">
              <w:rPr>
                <w:rFonts w:cs="Arial"/>
                <w:sz w:val="20"/>
                <w:szCs w:val="20"/>
              </w:rPr>
              <w:t xml:space="preserve">) Protocol. The rubric totals 15 points. </w:t>
            </w:r>
          </w:p>
          <w:p w14:paraId="0E1C188B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BE3119A" w14:textId="424FBA61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Minimum Criteria for Success:</w:t>
            </w:r>
          </w:p>
          <w:p w14:paraId="200F8166" w14:textId="0CC7291C" w:rsidR="00E06F48" w:rsidRPr="002F5DF9" w:rsidRDefault="00250706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The minimum score for success is a total score of 11.5 on rubric.</w:t>
            </w:r>
          </w:p>
          <w:p w14:paraId="0DE3EEE4" w14:textId="77777777" w:rsidR="00E06F48" w:rsidRPr="002F5DF9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31A21BCB" w14:textId="7C40CB86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Sample:</w:t>
            </w:r>
          </w:p>
          <w:p w14:paraId="5791FF4E" w14:textId="77777777" w:rsidR="00E06F48" w:rsidRDefault="00250706" w:rsidP="00351663">
            <w:pPr>
              <w:rPr>
                <w:rFonts w:cs="Arial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All students will be assessed.</w:t>
            </w:r>
          </w:p>
          <w:p w14:paraId="2E757104" w14:textId="78E71F6B" w:rsidR="00642A12" w:rsidRPr="002F5DF9" w:rsidRDefault="00642A12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642A12" w:rsidRPr="00F632F6" w14:paraId="04ED4934" w14:textId="77777777" w:rsidTr="00642A12">
        <w:trPr>
          <w:trHeight w:val="260"/>
        </w:trPr>
        <w:tc>
          <w:tcPr>
            <w:tcW w:w="4145" w:type="dxa"/>
          </w:tcPr>
          <w:p w14:paraId="57D9E0C0" w14:textId="77777777" w:rsidR="00E06F48" w:rsidRPr="002F5DF9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2F5DF9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937" w:type="dxa"/>
            <w:vMerge/>
          </w:tcPr>
          <w:p w14:paraId="5C9003DC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642A12" w:rsidRPr="00F632F6" w14:paraId="3A9F76CC" w14:textId="77777777" w:rsidTr="00642A12">
        <w:trPr>
          <w:trHeight w:val="2393"/>
        </w:trPr>
        <w:tc>
          <w:tcPr>
            <w:tcW w:w="4145" w:type="dxa"/>
          </w:tcPr>
          <w:p w14:paraId="73CF60AE" w14:textId="4F4A9A56" w:rsidR="00250706" w:rsidRPr="002F5DF9" w:rsidRDefault="00250706" w:rsidP="00250706">
            <w:pPr>
              <w:rPr>
                <w:rStyle w:val="Strong"/>
                <w:rFonts w:cs="Arial"/>
                <w:b w:val="0"/>
                <w:color w:val="FF0000"/>
                <w:sz w:val="20"/>
                <w:szCs w:val="20"/>
              </w:rPr>
            </w:pPr>
            <w:r w:rsidRPr="002F5DF9">
              <w:rPr>
                <w:rFonts w:cs="Arial"/>
                <w:sz w:val="20"/>
                <w:szCs w:val="20"/>
              </w:rPr>
              <w:t>Students will</w:t>
            </w:r>
            <w:r w:rsidRPr="002F5DF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demonstrate a willingness to engage in contemporary local, national, and global </w:t>
            </w:r>
            <w:r w:rsidR="00000C5F"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health care </w:t>
            </w:r>
            <w:r w:rsidRPr="002F5DF9">
              <w:rPr>
                <w:rStyle w:val="Strong"/>
                <w:rFonts w:cs="Arial"/>
                <w:b w:val="0"/>
                <w:sz w:val="20"/>
                <w:szCs w:val="20"/>
              </w:rPr>
              <w:t xml:space="preserve">issues through advocacy. </w:t>
            </w:r>
          </w:p>
          <w:p w14:paraId="1E1E0D1C" w14:textId="77777777" w:rsidR="00250706" w:rsidRPr="002F5DF9" w:rsidRDefault="00250706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937" w:type="dxa"/>
            <w:vMerge/>
          </w:tcPr>
          <w:p w14:paraId="01E9AE03" w14:textId="77777777" w:rsidR="00E06F48" w:rsidRPr="002F5DF9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2F5DF9">
        <w:trPr>
          <w:trHeight w:val="1439"/>
        </w:trPr>
        <w:tc>
          <w:tcPr>
            <w:tcW w:w="12831" w:type="dxa"/>
            <w:gridSpan w:val="3"/>
          </w:tcPr>
          <w:p w14:paraId="7D7EF2E8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7FABF9F5" w14:textId="77777777" w:rsidR="00250706" w:rsidRDefault="00250706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FC454E" w14:textId="77777777" w:rsidR="00642A12" w:rsidRDefault="00642A12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FB7F60" w14:textId="77777777" w:rsidR="00642A12" w:rsidRDefault="00642A12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526F00" w14:textId="77777777" w:rsidR="00642A12" w:rsidRDefault="00642A12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7926C5" w14:textId="77777777" w:rsidR="00642A12" w:rsidRDefault="00642A12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D13041" w14:textId="77777777" w:rsidR="00642A12" w:rsidRDefault="00642A12" w:rsidP="003516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94B6D4" w14:textId="1EECDB76" w:rsidR="00000C5F" w:rsidRPr="00250706" w:rsidRDefault="00000C5F" w:rsidP="00351663">
            <w:pPr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C724" w14:textId="77777777" w:rsidR="00012885" w:rsidRDefault="00012885">
      <w:r>
        <w:separator/>
      </w:r>
    </w:p>
  </w:endnote>
  <w:endnote w:type="continuationSeparator" w:id="0">
    <w:p w14:paraId="01A47F3F" w14:textId="77777777" w:rsidR="00012885" w:rsidRDefault="000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00002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24E0" w14:textId="77777777" w:rsidR="00012885" w:rsidRDefault="00012885">
      <w:r>
        <w:separator/>
      </w:r>
    </w:p>
  </w:footnote>
  <w:footnote w:type="continuationSeparator" w:id="0">
    <w:p w14:paraId="47FB624D" w14:textId="77777777" w:rsidR="00012885" w:rsidRDefault="00012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031763">
    <w:pPr>
      <w:rPr>
        <w:b/>
        <w:sz w:val="20"/>
      </w:rPr>
    </w:pPr>
    <w:r w:rsidRPr="00581F94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626B2F64" wp14:editId="3EE26DA2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2470150" cy="568960"/>
          <wp:effectExtent l="0" t="0" r="0" b="0"/>
          <wp:wrapTight wrapText="bothSides">
            <wp:wrapPolygon edited="0">
              <wp:start x="0" y="0"/>
              <wp:lineTo x="0" y="20250"/>
              <wp:lineTo x="21322" y="20250"/>
              <wp:lineTo x="213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2F5DF9" w:rsidRDefault="00FD3E31" w:rsidP="00581F94">
    <w:pPr>
      <w:rPr>
        <w:rFonts w:cs="Arial"/>
        <w:b/>
        <w:sz w:val="20"/>
        <w:szCs w:val="20"/>
      </w:rPr>
    </w:pPr>
  </w:p>
  <w:p w14:paraId="37997F31" w14:textId="57D4FFE1" w:rsidR="007821C4" w:rsidRPr="002F5DF9" w:rsidRDefault="007821C4" w:rsidP="00351663">
    <w:pPr>
      <w:rPr>
        <w:rFonts w:cs="Arial"/>
        <w:sz w:val="20"/>
        <w:szCs w:val="20"/>
      </w:rPr>
    </w:pPr>
    <w:r w:rsidRPr="002F5DF9">
      <w:rPr>
        <w:rFonts w:cs="Arial"/>
        <w:sz w:val="20"/>
        <w:szCs w:val="20"/>
      </w:rPr>
      <w:t>Faculty Name:</w:t>
    </w:r>
    <w:r w:rsidR="00CE7059" w:rsidRPr="002F5DF9">
      <w:rPr>
        <w:rFonts w:cs="Arial"/>
        <w:sz w:val="20"/>
        <w:szCs w:val="20"/>
      </w:rPr>
      <w:t xml:space="preserve"> </w:t>
    </w:r>
  </w:p>
  <w:p w14:paraId="16B15278" w14:textId="595B4308" w:rsidR="007821C4" w:rsidRPr="002F5DF9" w:rsidRDefault="007821C4" w:rsidP="00351663">
    <w:pPr>
      <w:rPr>
        <w:rFonts w:cs="Arial"/>
        <w:sz w:val="20"/>
        <w:szCs w:val="20"/>
      </w:rPr>
    </w:pPr>
    <w:r w:rsidRPr="002F5DF9">
      <w:rPr>
        <w:rFonts w:cs="Arial"/>
        <w:sz w:val="20"/>
        <w:szCs w:val="20"/>
      </w:rPr>
      <w:t xml:space="preserve">Course:  </w:t>
    </w:r>
    <w:r w:rsidR="0000587B" w:rsidRPr="002F5DF9">
      <w:rPr>
        <w:rFonts w:cs="Arial"/>
        <w:sz w:val="20"/>
        <w:szCs w:val="20"/>
      </w:rPr>
      <w:t>NUR 3821, Professional Nursing Leadership: Concepts and Issues</w:t>
    </w:r>
  </w:p>
  <w:p w14:paraId="2BB58D01" w14:textId="19ED5E84" w:rsidR="007821C4" w:rsidRPr="002F5DF9" w:rsidRDefault="007821C4" w:rsidP="00351663">
    <w:pPr>
      <w:rPr>
        <w:rFonts w:cs="Arial"/>
        <w:sz w:val="20"/>
        <w:szCs w:val="20"/>
      </w:rPr>
    </w:pPr>
    <w:r w:rsidRPr="002F5DF9">
      <w:rPr>
        <w:rFonts w:cs="Arial"/>
        <w:sz w:val="20"/>
        <w:szCs w:val="20"/>
      </w:rPr>
      <w:t>Academic Unit:</w:t>
    </w:r>
    <w:r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>Undergraduate Nursing</w:t>
    </w:r>
    <w:r w:rsidR="0000587B"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ab/>
      <w:t>Degree Program: BSN</w:t>
    </w:r>
    <w:r w:rsidR="0000587B"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ab/>
    </w:r>
    <w:r w:rsidR="0000587B" w:rsidRPr="002F5DF9">
      <w:rPr>
        <w:rFonts w:cs="Arial"/>
        <w:sz w:val="20"/>
        <w:szCs w:val="20"/>
      </w:rPr>
      <w:tab/>
    </w:r>
    <w:r w:rsidRPr="002F5DF9">
      <w:rPr>
        <w:rFonts w:cs="Arial"/>
        <w:sz w:val="20"/>
        <w:szCs w:val="20"/>
      </w:rPr>
      <w:t>Semester Assessed:</w:t>
    </w:r>
    <w:r w:rsidR="0000587B" w:rsidRPr="002F5DF9">
      <w:rPr>
        <w:rFonts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0FF"/>
    <w:multiLevelType w:val="hybridMultilevel"/>
    <w:tmpl w:val="0156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46A"/>
    <w:multiLevelType w:val="hybridMultilevel"/>
    <w:tmpl w:val="63A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F53832"/>
    <w:multiLevelType w:val="hybridMultilevel"/>
    <w:tmpl w:val="EF7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0C5F"/>
    <w:rsid w:val="0000587B"/>
    <w:rsid w:val="00006426"/>
    <w:rsid w:val="00012885"/>
    <w:rsid w:val="00031763"/>
    <w:rsid w:val="00033DC1"/>
    <w:rsid w:val="00054557"/>
    <w:rsid w:val="000C0B5B"/>
    <w:rsid w:val="000C4B42"/>
    <w:rsid w:val="00145166"/>
    <w:rsid w:val="00217ABA"/>
    <w:rsid w:val="002434C6"/>
    <w:rsid w:val="00250706"/>
    <w:rsid w:val="002D7397"/>
    <w:rsid w:val="002F5DF9"/>
    <w:rsid w:val="003053E7"/>
    <w:rsid w:val="00327B81"/>
    <w:rsid w:val="00345845"/>
    <w:rsid w:val="00351663"/>
    <w:rsid w:val="003E132D"/>
    <w:rsid w:val="003F3DB7"/>
    <w:rsid w:val="0042083A"/>
    <w:rsid w:val="00445D50"/>
    <w:rsid w:val="00521FFD"/>
    <w:rsid w:val="00581F94"/>
    <w:rsid w:val="005C58EB"/>
    <w:rsid w:val="00642A12"/>
    <w:rsid w:val="00687A10"/>
    <w:rsid w:val="006A06CE"/>
    <w:rsid w:val="006C1AD9"/>
    <w:rsid w:val="006F77DC"/>
    <w:rsid w:val="007100A3"/>
    <w:rsid w:val="007505D0"/>
    <w:rsid w:val="007821C4"/>
    <w:rsid w:val="00795F81"/>
    <w:rsid w:val="007D21C5"/>
    <w:rsid w:val="008E2DC9"/>
    <w:rsid w:val="00917914"/>
    <w:rsid w:val="00942FE2"/>
    <w:rsid w:val="00943D59"/>
    <w:rsid w:val="00A95974"/>
    <w:rsid w:val="00AC57BE"/>
    <w:rsid w:val="00AE165F"/>
    <w:rsid w:val="00AE4364"/>
    <w:rsid w:val="00B077D6"/>
    <w:rsid w:val="00B41437"/>
    <w:rsid w:val="00B95595"/>
    <w:rsid w:val="00BE73E8"/>
    <w:rsid w:val="00C85AD3"/>
    <w:rsid w:val="00CE7059"/>
    <w:rsid w:val="00D00002"/>
    <w:rsid w:val="00D40F9D"/>
    <w:rsid w:val="00D46EE4"/>
    <w:rsid w:val="00D7230D"/>
    <w:rsid w:val="00D752D6"/>
    <w:rsid w:val="00D826C9"/>
    <w:rsid w:val="00DA5804"/>
    <w:rsid w:val="00DC61D0"/>
    <w:rsid w:val="00E06F48"/>
    <w:rsid w:val="00E57E4E"/>
    <w:rsid w:val="00E6631C"/>
    <w:rsid w:val="00E901F1"/>
    <w:rsid w:val="00F45ECC"/>
    <w:rsid w:val="00F85C22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826C9"/>
    <w:rPr>
      <w:b/>
      <w:bCs/>
    </w:rPr>
  </w:style>
  <w:style w:type="paragraph" w:styleId="ListParagraph">
    <w:name w:val="List Paragraph"/>
    <w:basedOn w:val="Normal"/>
    <w:uiPriority w:val="34"/>
    <w:qFormat/>
    <w:rsid w:val="00D826C9"/>
    <w:pPr>
      <w:spacing w:before="100" w:beforeAutospacing="1" w:after="100" w:afterAutospacing="1"/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2017-08-31T17:11:00Z</cp:lastPrinted>
  <dcterms:created xsi:type="dcterms:W3CDTF">2017-12-01T21:12:00Z</dcterms:created>
  <dcterms:modified xsi:type="dcterms:W3CDTF">2017-12-01T21:12:00Z</dcterms:modified>
</cp:coreProperties>
</file>