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6390"/>
        <w:gridCol w:w="3224"/>
      </w:tblGrid>
      <w:tr w:rsidR="00E06F48" w:rsidRPr="00F632F6" w14:paraId="6C6B1AF3" w14:textId="77777777" w:rsidTr="000A6A6F">
        <w:trPr>
          <w:trHeight w:val="305"/>
          <w:tblHeader/>
        </w:trPr>
        <w:tc>
          <w:tcPr>
            <w:tcW w:w="3217"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6390"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3224"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rsidTr="000A6A6F">
        <w:trPr>
          <w:trHeight w:val="1140"/>
        </w:trPr>
        <w:tc>
          <w:tcPr>
            <w:tcW w:w="3217"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371B8E">
              <w:rPr>
                <w:b/>
                <w:sz w:val="20"/>
              </w:rPr>
              <w:t>:</w:t>
            </w:r>
            <w:r w:rsidRPr="00371B8E">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6390" w:type="dxa"/>
            <w:vMerge w:val="restart"/>
          </w:tcPr>
          <w:p w14:paraId="4B4DB45F" w14:textId="77777777" w:rsidR="00E06F48" w:rsidRPr="00905CCE" w:rsidRDefault="00E06F48" w:rsidP="00351663">
            <w:pPr>
              <w:rPr>
                <w:sz w:val="20"/>
              </w:rPr>
            </w:pPr>
            <w:r w:rsidRPr="00905CCE">
              <w:rPr>
                <w:sz w:val="20"/>
              </w:rPr>
              <w:t>Assessment Activity/Artifact:</w:t>
            </w:r>
          </w:p>
          <w:p w14:paraId="7F0D8583" w14:textId="7282FBF7" w:rsidR="00E06F48" w:rsidRPr="000B36A7" w:rsidRDefault="000B36A7" w:rsidP="00351663">
            <w:pPr>
              <w:rPr>
                <w:color w:val="000000" w:themeColor="text1"/>
                <w:sz w:val="20"/>
              </w:rPr>
            </w:pPr>
            <w:r>
              <w:rPr>
                <w:color w:val="000000" w:themeColor="text1"/>
                <w:sz w:val="20"/>
              </w:rPr>
              <w:t xml:space="preserve">Students will identify a research topic and write a </w:t>
            </w:r>
            <w:proofErr w:type="gramStart"/>
            <w:r>
              <w:rPr>
                <w:color w:val="000000" w:themeColor="text1"/>
                <w:sz w:val="20"/>
              </w:rPr>
              <w:t>3,000</w:t>
            </w:r>
            <w:r w:rsidR="000A6A6F">
              <w:rPr>
                <w:color w:val="000000" w:themeColor="text1"/>
                <w:sz w:val="20"/>
              </w:rPr>
              <w:t>-</w:t>
            </w:r>
            <w:r>
              <w:rPr>
                <w:color w:val="000000" w:themeColor="text1"/>
                <w:sz w:val="20"/>
              </w:rPr>
              <w:t xml:space="preserve">3,500 </w:t>
            </w:r>
            <w:r w:rsidR="000A6A6F">
              <w:rPr>
                <w:color w:val="000000" w:themeColor="text1"/>
                <w:sz w:val="20"/>
              </w:rPr>
              <w:t>word</w:t>
            </w:r>
            <w:proofErr w:type="gramEnd"/>
            <w:r w:rsidR="000A6A6F">
              <w:rPr>
                <w:color w:val="000000" w:themeColor="text1"/>
                <w:sz w:val="20"/>
              </w:rPr>
              <w:t xml:space="preserve"> paper (8-10 pages) in which they explore how two or more urban centers responded to a similar phenomenon or process, such as urbanization and migration, urban planning and visual culture, or shifting gender and social relations. Papers will focus on ways in which cross-cultural exchanges impacted urban societies, visual cultures, and lived experience in cities.  </w:t>
            </w:r>
          </w:p>
          <w:p w14:paraId="0CAD9397" w14:textId="1A592F41" w:rsidR="00E06F48" w:rsidRPr="00905CCE" w:rsidRDefault="00E06F48" w:rsidP="00351663">
            <w:pPr>
              <w:rPr>
                <w:sz w:val="20"/>
              </w:rPr>
            </w:pPr>
          </w:p>
          <w:p w14:paraId="7A03C96A" w14:textId="77777777" w:rsidR="00E06F48" w:rsidRPr="00905CCE" w:rsidRDefault="00E06F48" w:rsidP="00351663">
            <w:pPr>
              <w:rPr>
                <w:sz w:val="20"/>
              </w:rPr>
            </w:pPr>
            <w:r w:rsidRPr="00905CCE">
              <w:rPr>
                <w:sz w:val="20"/>
              </w:rPr>
              <w:t>Evaluation Process:</w:t>
            </w:r>
          </w:p>
          <w:p w14:paraId="7E52E53C" w14:textId="495571B5" w:rsidR="00E06F48" w:rsidRDefault="000A6A6F" w:rsidP="00351663">
            <w:pPr>
              <w:rPr>
                <w:sz w:val="20"/>
              </w:rPr>
            </w:pPr>
            <w:r>
              <w:rPr>
                <w:sz w:val="20"/>
              </w:rPr>
              <w:t>The essay will be evaluated based on the following:</w:t>
            </w:r>
          </w:p>
          <w:p w14:paraId="778FD1AD" w14:textId="6DF817F9" w:rsidR="000A6A6F" w:rsidRDefault="000A6A6F" w:rsidP="000A6A6F">
            <w:pPr>
              <w:pStyle w:val="ListParagraph"/>
              <w:numPr>
                <w:ilvl w:val="0"/>
                <w:numId w:val="10"/>
              </w:numPr>
              <w:rPr>
                <w:sz w:val="20"/>
              </w:rPr>
            </w:pPr>
            <w:r>
              <w:rPr>
                <w:sz w:val="20"/>
              </w:rPr>
              <w:t>Clear thesis statement and argumentation</w:t>
            </w:r>
          </w:p>
          <w:p w14:paraId="215F3F45" w14:textId="0825AB1E" w:rsidR="00E06F48" w:rsidRDefault="000A6A6F" w:rsidP="00351663">
            <w:pPr>
              <w:pStyle w:val="ListParagraph"/>
              <w:numPr>
                <w:ilvl w:val="0"/>
                <w:numId w:val="10"/>
              </w:numPr>
              <w:rPr>
                <w:sz w:val="20"/>
              </w:rPr>
            </w:pPr>
            <w:r>
              <w:rPr>
                <w:sz w:val="20"/>
              </w:rPr>
              <w:t>Command of concepts, issues and vocabulary studied throughout the course</w:t>
            </w:r>
          </w:p>
          <w:p w14:paraId="28225340" w14:textId="0D78900A" w:rsidR="000A6A6F" w:rsidRDefault="000A6A6F" w:rsidP="00351663">
            <w:pPr>
              <w:pStyle w:val="ListParagraph"/>
              <w:numPr>
                <w:ilvl w:val="0"/>
                <w:numId w:val="10"/>
              </w:numPr>
              <w:rPr>
                <w:sz w:val="20"/>
              </w:rPr>
            </w:pPr>
            <w:r>
              <w:rPr>
                <w:sz w:val="20"/>
              </w:rPr>
              <w:t>Understanding of the different geographic locations and socio-cultural contexts under review and the connections between them</w:t>
            </w:r>
          </w:p>
          <w:p w14:paraId="653A83A2" w14:textId="4C9208A8" w:rsidR="000A6A6F" w:rsidRDefault="000A6A6F" w:rsidP="00351663">
            <w:pPr>
              <w:pStyle w:val="ListParagraph"/>
              <w:numPr>
                <w:ilvl w:val="0"/>
                <w:numId w:val="10"/>
              </w:numPr>
              <w:rPr>
                <w:sz w:val="20"/>
              </w:rPr>
            </w:pPr>
            <w:r>
              <w:rPr>
                <w:sz w:val="20"/>
              </w:rPr>
              <w:t>Justified use of primary sources and secondary works to support an argument</w:t>
            </w:r>
          </w:p>
          <w:p w14:paraId="1962F1A5" w14:textId="3B162400" w:rsidR="000A6A6F" w:rsidRPr="000A6A6F" w:rsidRDefault="000A6A6F" w:rsidP="00351663">
            <w:pPr>
              <w:pStyle w:val="ListParagraph"/>
              <w:numPr>
                <w:ilvl w:val="0"/>
                <w:numId w:val="10"/>
              </w:numPr>
              <w:rPr>
                <w:sz w:val="20"/>
              </w:rPr>
            </w:pPr>
            <w:r>
              <w:rPr>
                <w:sz w:val="20"/>
              </w:rPr>
              <w:t>Organized structure and clarity in writing (spelling, punctuation, grammar, and form</w:t>
            </w:r>
          </w:p>
          <w:p w14:paraId="5E0AF4E2" w14:textId="77777777" w:rsidR="00E06F48" w:rsidRDefault="00E06F48" w:rsidP="00351663">
            <w:pPr>
              <w:rPr>
                <w:sz w:val="20"/>
              </w:rPr>
            </w:pPr>
          </w:p>
          <w:p w14:paraId="070DB9F6" w14:textId="48808BF1" w:rsidR="00E06F48" w:rsidRDefault="00E06F48" w:rsidP="00351663">
            <w:pPr>
              <w:rPr>
                <w:sz w:val="20"/>
              </w:rPr>
            </w:pPr>
            <w:r w:rsidRPr="00905CCE">
              <w:rPr>
                <w:sz w:val="20"/>
              </w:rPr>
              <w:t>Minimum Criteria for Success:</w:t>
            </w:r>
          </w:p>
          <w:p w14:paraId="0685896D" w14:textId="6D87356C" w:rsidR="000A6A6F" w:rsidRPr="000A6A6F" w:rsidRDefault="000A6A6F" w:rsidP="00351663">
            <w:pPr>
              <w:rPr>
                <w:sz w:val="20"/>
              </w:rPr>
            </w:pPr>
            <w:r>
              <w:rPr>
                <w:sz w:val="20"/>
              </w:rPr>
              <w:t>A minimum grade of a C on the assignment</w:t>
            </w:r>
          </w:p>
          <w:p w14:paraId="34A3C146" w14:textId="77777777" w:rsidR="00E06F48" w:rsidRDefault="00E06F48" w:rsidP="00351663">
            <w:pPr>
              <w:rPr>
                <w:i/>
                <w:color w:val="0070C0"/>
                <w:sz w:val="20"/>
              </w:rPr>
            </w:pPr>
          </w:p>
          <w:p w14:paraId="093A6908" w14:textId="77777777" w:rsidR="00E06F48" w:rsidRDefault="00E06F48" w:rsidP="00351663">
            <w:pPr>
              <w:rPr>
                <w:sz w:val="20"/>
              </w:rPr>
            </w:pPr>
            <w:r>
              <w:rPr>
                <w:sz w:val="20"/>
              </w:rPr>
              <w:t>Sample:</w:t>
            </w:r>
          </w:p>
          <w:p w14:paraId="514F6A88" w14:textId="3BFB1B22" w:rsidR="00E06F48" w:rsidRPr="000A6A6F" w:rsidRDefault="000A6A6F" w:rsidP="00351663">
            <w:pPr>
              <w:rPr>
                <w:color w:val="0070C0"/>
                <w:sz w:val="22"/>
              </w:rPr>
            </w:pPr>
            <w:r w:rsidRPr="000A6A6F">
              <w:rPr>
                <w:color w:val="000000" w:themeColor="text1"/>
                <w:sz w:val="22"/>
              </w:rPr>
              <w:t>All students will be assessed.</w:t>
            </w:r>
          </w:p>
        </w:tc>
        <w:tc>
          <w:tcPr>
            <w:tcW w:w="3224"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rsidTr="000A6A6F">
        <w:trPr>
          <w:trHeight w:val="260"/>
        </w:trPr>
        <w:tc>
          <w:tcPr>
            <w:tcW w:w="3217" w:type="dxa"/>
          </w:tcPr>
          <w:p w14:paraId="268FDF94" w14:textId="77777777" w:rsidR="00E06F48" w:rsidRPr="003D281E" w:rsidRDefault="00E06F48" w:rsidP="00351663">
            <w:pPr>
              <w:rPr>
                <w:b/>
                <w:sz w:val="20"/>
              </w:rPr>
            </w:pPr>
            <w:r>
              <w:rPr>
                <w:b/>
                <w:sz w:val="20"/>
              </w:rPr>
              <w:t>Course Learning Outcome</w:t>
            </w:r>
          </w:p>
        </w:tc>
        <w:tc>
          <w:tcPr>
            <w:tcW w:w="6390" w:type="dxa"/>
            <w:vMerge/>
          </w:tcPr>
          <w:p w14:paraId="7880F95E" w14:textId="77777777" w:rsidR="00E06F48" w:rsidRPr="003D281E" w:rsidRDefault="00E06F48" w:rsidP="00351663">
            <w:pPr>
              <w:rPr>
                <w:sz w:val="22"/>
              </w:rPr>
            </w:pPr>
          </w:p>
        </w:tc>
        <w:tc>
          <w:tcPr>
            <w:tcW w:w="3224" w:type="dxa"/>
            <w:vMerge/>
          </w:tcPr>
          <w:p w14:paraId="06EB8BBB" w14:textId="77777777" w:rsidR="00E06F48" w:rsidRPr="003D281E" w:rsidRDefault="00E06F48" w:rsidP="00351663">
            <w:pPr>
              <w:rPr>
                <w:sz w:val="22"/>
              </w:rPr>
            </w:pPr>
          </w:p>
        </w:tc>
      </w:tr>
      <w:tr w:rsidR="00E06F48" w:rsidRPr="00F632F6" w14:paraId="3AED5DDC" w14:textId="77777777" w:rsidTr="000A6A6F">
        <w:trPr>
          <w:trHeight w:val="2393"/>
        </w:trPr>
        <w:tc>
          <w:tcPr>
            <w:tcW w:w="3217" w:type="dxa"/>
          </w:tcPr>
          <w:p w14:paraId="0C2C79FF" w14:textId="13D1B905" w:rsidR="00E06F48" w:rsidRPr="00252A6F" w:rsidRDefault="00252A6F" w:rsidP="00351663">
            <w:pPr>
              <w:rPr>
                <w:color w:val="000000" w:themeColor="text1"/>
                <w:sz w:val="20"/>
              </w:rPr>
            </w:pPr>
            <w:r>
              <w:rPr>
                <w:color w:val="000000" w:themeColor="text1"/>
                <w:sz w:val="20"/>
              </w:rPr>
              <w:t xml:space="preserve">Identify a research topic and construct an evidence-based argument demonstrating how both local and extra-local processes shaped urban identities and cultures. This involves analyzing the ways in which both transnational and intercultural exchanges impacted urban planning, visual culture, and the socio-cultural development of cities. </w:t>
            </w:r>
          </w:p>
        </w:tc>
        <w:tc>
          <w:tcPr>
            <w:tcW w:w="6390" w:type="dxa"/>
            <w:vMerge/>
          </w:tcPr>
          <w:p w14:paraId="2150D560" w14:textId="77777777" w:rsidR="00E06F48" w:rsidRPr="003D281E" w:rsidRDefault="00E06F48" w:rsidP="00351663">
            <w:pPr>
              <w:rPr>
                <w:sz w:val="22"/>
              </w:rPr>
            </w:pPr>
          </w:p>
        </w:tc>
        <w:tc>
          <w:tcPr>
            <w:tcW w:w="3224"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6030"/>
        <w:gridCol w:w="3494"/>
      </w:tblGrid>
      <w:tr w:rsidR="00E06F48" w:rsidRPr="00F632F6" w14:paraId="10BBA699" w14:textId="77777777" w:rsidTr="00BE5646">
        <w:trPr>
          <w:trHeight w:val="305"/>
          <w:tblHeader/>
        </w:trPr>
        <w:tc>
          <w:tcPr>
            <w:tcW w:w="3307" w:type="dxa"/>
          </w:tcPr>
          <w:p w14:paraId="2275A80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6030"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3494"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BE5646">
        <w:trPr>
          <w:trHeight w:val="1140"/>
        </w:trPr>
        <w:tc>
          <w:tcPr>
            <w:tcW w:w="3307"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6030" w:type="dxa"/>
            <w:vMerge w:val="restart"/>
          </w:tcPr>
          <w:p w14:paraId="4E8B5A15" w14:textId="77777777" w:rsidR="00E06F48" w:rsidRPr="00905CCE" w:rsidRDefault="00E06F48" w:rsidP="00351663">
            <w:pPr>
              <w:rPr>
                <w:sz w:val="20"/>
              </w:rPr>
            </w:pPr>
            <w:r w:rsidRPr="00905CCE">
              <w:rPr>
                <w:sz w:val="20"/>
              </w:rPr>
              <w:t>Assessment Activity/Artifact:</w:t>
            </w:r>
          </w:p>
          <w:p w14:paraId="3CD169E6" w14:textId="640891B5" w:rsidR="00BE5646" w:rsidRDefault="00BE5646" w:rsidP="00351663">
            <w:pPr>
              <w:rPr>
                <w:color w:val="000000" w:themeColor="text1"/>
                <w:sz w:val="20"/>
              </w:rPr>
            </w:pPr>
            <w:r w:rsidRPr="00BE5646">
              <w:rPr>
                <w:color w:val="000000" w:themeColor="text1"/>
                <w:sz w:val="20"/>
              </w:rPr>
              <w:t xml:space="preserve">Team activity </w:t>
            </w:r>
            <w:r>
              <w:rPr>
                <w:color w:val="000000" w:themeColor="text1"/>
                <w:sz w:val="20"/>
              </w:rPr>
              <w:t>based on group presentations and critical analysis. Groups of four to five students working on different urban centers will present a summary of their projects and findings. Students will contrast and share research tools and draw connections between local practices across different geographic locations.</w:t>
            </w:r>
          </w:p>
          <w:p w14:paraId="318DE606" w14:textId="77777777" w:rsidR="00BE5646" w:rsidRPr="00BE5646" w:rsidRDefault="00BE5646" w:rsidP="00351663">
            <w:pPr>
              <w:rPr>
                <w:color w:val="000000" w:themeColor="text1"/>
                <w:sz w:val="20"/>
              </w:rPr>
            </w:pPr>
          </w:p>
          <w:p w14:paraId="10449FBC" w14:textId="77777777" w:rsidR="00E06F48" w:rsidRPr="00905CCE" w:rsidRDefault="00E06F48" w:rsidP="00351663">
            <w:pPr>
              <w:rPr>
                <w:sz w:val="20"/>
              </w:rPr>
            </w:pPr>
            <w:r w:rsidRPr="00905CCE">
              <w:rPr>
                <w:sz w:val="20"/>
              </w:rPr>
              <w:t>Evaluation Process:</w:t>
            </w:r>
          </w:p>
          <w:p w14:paraId="33B0A459" w14:textId="29863E71" w:rsidR="00E06F48" w:rsidRDefault="00BE5646" w:rsidP="00351663">
            <w:pPr>
              <w:rPr>
                <w:sz w:val="20"/>
              </w:rPr>
            </w:pPr>
            <w:r>
              <w:rPr>
                <w:sz w:val="20"/>
              </w:rPr>
              <w:t>The assignment will be evaluated based on the following:</w:t>
            </w:r>
          </w:p>
          <w:p w14:paraId="1E1635B7" w14:textId="63E73F62" w:rsidR="00BE5646" w:rsidRDefault="00BE5646" w:rsidP="00BE5646">
            <w:pPr>
              <w:pStyle w:val="ListParagraph"/>
              <w:numPr>
                <w:ilvl w:val="0"/>
                <w:numId w:val="11"/>
              </w:numPr>
              <w:rPr>
                <w:sz w:val="20"/>
              </w:rPr>
            </w:pPr>
            <w:r>
              <w:rPr>
                <w:sz w:val="20"/>
              </w:rPr>
              <w:t>Clarity in argumentation and presentation</w:t>
            </w:r>
          </w:p>
          <w:p w14:paraId="39777B47" w14:textId="75A28990" w:rsidR="00BE5646" w:rsidRDefault="00BE5646" w:rsidP="00BE5646">
            <w:pPr>
              <w:pStyle w:val="ListParagraph"/>
              <w:numPr>
                <w:ilvl w:val="0"/>
                <w:numId w:val="11"/>
              </w:numPr>
              <w:rPr>
                <w:sz w:val="20"/>
              </w:rPr>
            </w:pPr>
            <w:r>
              <w:rPr>
                <w:sz w:val="20"/>
              </w:rPr>
              <w:t>Ability to work collaboratively and present evidence and arguments clearly and coherently</w:t>
            </w:r>
          </w:p>
          <w:p w14:paraId="778449ED" w14:textId="7E13834F" w:rsidR="00BE5646" w:rsidRDefault="00BE5646" w:rsidP="00BE5646">
            <w:pPr>
              <w:pStyle w:val="ListParagraph"/>
              <w:numPr>
                <w:ilvl w:val="0"/>
                <w:numId w:val="11"/>
              </w:numPr>
              <w:rPr>
                <w:sz w:val="20"/>
              </w:rPr>
            </w:pPr>
            <w:r>
              <w:rPr>
                <w:sz w:val="20"/>
              </w:rPr>
              <w:t>Ability to contextualize and compare relevant topics and phenomena</w:t>
            </w:r>
          </w:p>
          <w:p w14:paraId="3BF88719" w14:textId="3A7EEB21" w:rsidR="00E06F48" w:rsidRPr="00BE5646" w:rsidRDefault="00BE5646" w:rsidP="00351663">
            <w:pPr>
              <w:pStyle w:val="ListParagraph"/>
              <w:numPr>
                <w:ilvl w:val="0"/>
                <w:numId w:val="11"/>
              </w:numPr>
              <w:rPr>
                <w:sz w:val="20"/>
              </w:rPr>
            </w:pPr>
            <w:r>
              <w:rPr>
                <w:sz w:val="20"/>
              </w:rPr>
              <w:t>Ability to draw meaningful connections between urban societies and cultures</w:t>
            </w:r>
          </w:p>
          <w:p w14:paraId="48638B58" w14:textId="77777777" w:rsidR="00E06F48" w:rsidRDefault="00E06F48" w:rsidP="00351663">
            <w:pPr>
              <w:rPr>
                <w:sz w:val="20"/>
              </w:rPr>
            </w:pPr>
          </w:p>
          <w:p w14:paraId="2DE590D4" w14:textId="77777777" w:rsidR="00E06F48" w:rsidRPr="00905CCE" w:rsidRDefault="00E06F48" w:rsidP="00351663">
            <w:pPr>
              <w:rPr>
                <w:sz w:val="20"/>
              </w:rPr>
            </w:pPr>
            <w:r w:rsidRPr="00905CCE">
              <w:rPr>
                <w:sz w:val="20"/>
              </w:rPr>
              <w:t>Minimum Criteria for Success:</w:t>
            </w:r>
          </w:p>
          <w:p w14:paraId="5AF1D108" w14:textId="4089B931" w:rsidR="00E06F48" w:rsidRPr="00BE5646" w:rsidRDefault="00BE5646" w:rsidP="00351663">
            <w:pPr>
              <w:rPr>
                <w:color w:val="000000" w:themeColor="text1"/>
                <w:sz w:val="20"/>
              </w:rPr>
            </w:pPr>
            <w:r w:rsidRPr="00BE5646">
              <w:rPr>
                <w:color w:val="000000" w:themeColor="text1"/>
                <w:sz w:val="20"/>
              </w:rPr>
              <w:t>Completion of the assignment (Pass/Fail)</w:t>
            </w:r>
          </w:p>
          <w:p w14:paraId="1F9CE4FD" w14:textId="7E9261FE" w:rsidR="00E06F48" w:rsidRDefault="00E06F48" w:rsidP="00351663">
            <w:pPr>
              <w:rPr>
                <w:i/>
                <w:color w:val="0070C0"/>
                <w:sz w:val="20"/>
              </w:rPr>
            </w:pPr>
          </w:p>
          <w:p w14:paraId="61098E28" w14:textId="77777777" w:rsidR="00E06F48" w:rsidRDefault="00E06F48" w:rsidP="00351663">
            <w:pPr>
              <w:rPr>
                <w:sz w:val="20"/>
              </w:rPr>
            </w:pPr>
            <w:r>
              <w:rPr>
                <w:sz w:val="20"/>
              </w:rPr>
              <w:t>Sample:</w:t>
            </w:r>
          </w:p>
          <w:p w14:paraId="469F82FA" w14:textId="08BF0ECF" w:rsidR="00E06F48" w:rsidRPr="00BE5646" w:rsidRDefault="00BE5646" w:rsidP="00351663">
            <w:pPr>
              <w:rPr>
                <w:color w:val="000000" w:themeColor="text1"/>
                <w:sz w:val="22"/>
              </w:rPr>
            </w:pPr>
            <w:r>
              <w:rPr>
                <w:color w:val="000000" w:themeColor="text1"/>
                <w:sz w:val="22"/>
              </w:rPr>
              <w:t>All students will be assessed.</w:t>
            </w:r>
          </w:p>
          <w:p w14:paraId="27031866" w14:textId="24A7D08D" w:rsidR="00E06F48" w:rsidRPr="00A80501" w:rsidRDefault="00E06F48" w:rsidP="00351663">
            <w:pPr>
              <w:rPr>
                <w:i/>
                <w:color w:val="0070C0"/>
                <w:sz w:val="22"/>
              </w:rPr>
            </w:pPr>
          </w:p>
        </w:tc>
        <w:tc>
          <w:tcPr>
            <w:tcW w:w="3494"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rsidTr="00BE5646">
        <w:trPr>
          <w:trHeight w:val="260"/>
        </w:trPr>
        <w:tc>
          <w:tcPr>
            <w:tcW w:w="3307" w:type="dxa"/>
          </w:tcPr>
          <w:p w14:paraId="7A7A530C" w14:textId="77777777" w:rsidR="00E06F48" w:rsidRPr="003D281E" w:rsidRDefault="00E06F48" w:rsidP="00351663">
            <w:pPr>
              <w:rPr>
                <w:b/>
                <w:sz w:val="20"/>
              </w:rPr>
            </w:pPr>
            <w:r>
              <w:rPr>
                <w:b/>
                <w:sz w:val="20"/>
              </w:rPr>
              <w:t>Course Learning Outcome</w:t>
            </w:r>
          </w:p>
        </w:tc>
        <w:tc>
          <w:tcPr>
            <w:tcW w:w="6030" w:type="dxa"/>
            <w:vMerge/>
          </w:tcPr>
          <w:p w14:paraId="41D0F97B" w14:textId="77777777" w:rsidR="00E06F48" w:rsidRPr="003D281E" w:rsidRDefault="00E06F48" w:rsidP="00351663">
            <w:pPr>
              <w:rPr>
                <w:sz w:val="22"/>
              </w:rPr>
            </w:pPr>
          </w:p>
        </w:tc>
        <w:tc>
          <w:tcPr>
            <w:tcW w:w="3494" w:type="dxa"/>
            <w:vMerge/>
          </w:tcPr>
          <w:p w14:paraId="08FFC2EC" w14:textId="77777777" w:rsidR="00E06F48" w:rsidRPr="003D281E" w:rsidRDefault="00E06F48" w:rsidP="00351663">
            <w:pPr>
              <w:rPr>
                <w:sz w:val="22"/>
              </w:rPr>
            </w:pPr>
          </w:p>
        </w:tc>
      </w:tr>
      <w:tr w:rsidR="00E06F48" w:rsidRPr="00F632F6" w14:paraId="3523A353" w14:textId="77777777" w:rsidTr="00BE5646">
        <w:trPr>
          <w:trHeight w:val="2393"/>
        </w:trPr>
        <w:tc>
          <w:tcPr>
            <w:tcW w:w="3307" w:type="dxa"/>
          </w:tcPr>
          <w:p w14:paraId="3E541137" w14:textId="3F1248B2" w:rsidR="00E06F48" w:rsidRPr="00C65DDB" w:rsidRDefault="00C65DDB" w:rsidP="00351663">
            <w:pPr>
              <w:rPr>
                <w:color w:val="0070C0"/>
                <w:sz w:val="20"/>
              </w:rPr>
            </w:pPr>
            <w:r>
              <w:rPr>
                <w:color w:val="000000" w:themeColor="text1"/>
                <w:sz w:val="20"/>
              </w:rPr>
              <w:t xml:space="preserve">Analyze different urban </w:t>
            </w:r>
            <w:r w:rsidR="000A27AC">
              <w:rPr>
                <w:color w:val="000000" w:themeColor="text1"/>
                <w:sz w:val="20"/>
              </w:rPr>
              <w:t xml:space="preserve">societies and cities from multiple </w:t>
            </w:r>
            <w:r w:rsidR="00BE5646">
              <w:rPr>
                <w:color w:val="000000" w:themeColor="text1"/>
                <w:sz w:val="20"/>
              </w:rPr>
              <w:t xml:space="preserve">perspectives and construct evidence-based arguments examining the ways in which local issues and global practices intersect. </w:t>
            </w:r>
          </w:p>
        </w:tc>
        <w:tc>
          <w:tcPr>
            <w:tcW w:w="6030" w:type="dxa"/>
            <w:vMerge/>
          </w:tcPr>
          <w:p w14:paraId="3A252DD1" w14:textId="77777777" w:rsidR="00E06F48" w:rsidRPr="003D281E" w:rsidRDefault="00E06F48" w:rsidP="00351663">
            <w:pPr>
              <w:rPr>
                <w:sz w:val="22"/>
              </w:rPr>
            </w:pPr>
          </w:p>
        </w:tc>
        <w:tc>
          <w:tcPr>
            <w:tcW w:w="3494"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6030"/>
        <w:gridCol w:w="3584"/>
      </w:tblGrid>
      <w:tr w:rsidR="00E06F48" w:rsidRPr="00F632F6" w14:paraId="7CEE1F7C" w14:textId="77777777" w:rsidTr="00BE5646">
        <w:trPr>
          <w:trHeight w:val="305"/>
          <w:tblHeader/>
        </w:trPr>
        <w:tc>
          <w:tcPr>
            <w:tcW w:w="3217"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6030"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3584"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rsidTr="00BE5646">
        <w:trPr>
          <w:trHeight w:val="1140"/>
        </w:trPr>
        <w:tc>
          <w:tcPr>
            <w:tcW w:w="3217"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6030" w:type="dxa"/>
            <w:vMerge w:val="restart"/>
          </w:tcPr>
          <w:p w14:paraId="590F22B9" w14:textId="77777777" w:rsidR="00E06F48" w:rsidRPr="00905CCE" w:rsidRDefault="00E06F48" w:rsidP="00351663">
            <w:pPr>
              <w:rPr>
                <w:sz w:val="20"/>
              </w:rPr>
            </w:pPr>
            <w:r w:rsidRPr="00905CCE">
              <w:rPr>
                <w:sz w:val="20"/>
              </w:rPr>
              <w:t>Assessment Activity/Artifact:</w:t>
            </w:r>
          </w:p>
          <w:p w14:paraId="34B3E5EE" w14:textId="49E8BC10" w:rsidR="00E06F48" w:rsidRPr="00BE5646" w:rsidRDefault="00BE5646" w:rsidP="00351663">
            <w:pPr>
              <w:rPr>
                <w:color w:val="000000" w:themeColor="text1"/>
                <w:sz w:val="20"/>
              </w:rPr>
            </w:pPr>
            <w:r>
              <w:rPr>
                <w:color w:val="000000" w:themeColor="text1"/>
                <w:sz w:val="20"/>
              </w:rPr>
              <w:t xml:space="preserve">Throughout the course students will complete approximately ten short writing assignments and discussion posts (300-400 words). In these assignments, they will be asked to complete readings and engage in problem-solving activities that require analysis of intercultural issues. These activities include discussing the relationship between racial stereotypes, exhibitions, and Imperialism (Weeks 6 and 7); considering the influence of Islam in Spanish cities; comparing so-called peripheral cities and metropoles (Week 11); comparing counterculture movements in various European cities (Week 14). </w:t>
            </w:r>
          </w:p>
          <w:p w14:paraId="5D6E7D2E" w14:textId="77777777" w:rsidR="00E06F48" w:rsidRPr="00BE5646" w:rsidRDefault="00E06F48" w:rsidP="00351663">
            <w:pPr>
              <w:rPr>
                <w:sz w:val="11"/>
              </w:rPr>
            </w:pPr>
          </w:p>
          <w:p w14:paraId="72C538C8" w14:textId="77777777" w:rsidR="00E06F48" w:rsidRPr="00905CCE" w:rsidRDefault="00E06F48" w:rsidP="00351663">
            <w:pPr>
              <w:rPr>
                <w:sz w:val="20"/>
              </w:rPr>
            </w:pPr>
            <w:r w:rsidRPr="00905CCE">
              <w:rPr>
                <w:sz w:val="20"/>
              </w:rPr>
              <w:t>Evaluation Process:</w:t>
            </w:r>
          </w:p>
          <w:p w14:paraId="21A33B06" w14:textId="460BFB26" w:rsidR="00E06F48" w:rsidRDefault="00BE5646" w:rsidP="00BE5646">
            <w:pPr>
              <w:rPr>
                <w:sz w:val="20"/>
              </w:rPr>
            </w:pPr>
            <w:r w:rsidRPr="00BE5646">
              <w:rPr>
                <w:sz w:val="20"/>
              </w:rPr>
              <w:t>Assignments will be evaluated based on the following:</w:t>
            </w:r>
          </w:p>
          <w:p w14:paraId="54AEC2F6" w14:textId="53AC1668" w:rsidR="00BE5646" w:rsidRDefault="00BE5646" w:rsidP="00BE5646">
            <w:pPr>
              <w:pStyle w:val="ListParagraph"/>
              <w:numPr>
                <w:ilvl w:val="0"/>
                <w:numId w:val="13"/>
              </w:numPr>
              <w:rPr>
                <w:sz w:val="20"/>
              </w:rPr>
            </w:pPr>
            <w:r>
              <w:rPr>
                <w:sz w:val="20"/>
              </w:rPr>
              <w:t>Ability to acknowledge different historical approaches and engage with these perspectives on a controversy.</w:t>
            </w:r>
          </w:p>
          <w:p w14:paraId="0BE46D53" w14:textId="0754E0AF" w:rsidR="00BE5646" w:rsidRDefault="00BE5646" w:rsidP="00BE5646">
            <w:pPr>
              <w:pStyle w:val="ListParagraph"/>
              <w:numPr>
                <w:ilvl w:val="0"/>
                <w:numId w:val="13"/>
              </w:numPr>
              <w:rPr>
                <w:sz w:val="20"/>
              </w:rPr>
            </w:pPr>
            <w:r>
              <w:rPr>
                <w:sz w:val="20"/>
              </w:rPr>
              <w:t>Ability to contextualize the information and processes under review based on course readings and class materials</w:t>
            </w:r>
          </w:p>
          <w:p w14:paraId="5E3C5CB5" w14:textId="236DA1D4" w:rsidR="00BE5646" w:rsidRDefault="00BE5646" w:rsidP="00BE5646">
            <w:pPr>
              <w:pStyle w:val="ListParagraph"/>
              <w:numPr>
                <w:ilvl w:val="0"/>
                <w:numId w:val="13"/>
              </w:numPr>
              <w:rPr>
                <w:sz w:val="20"/>
              </w:rPr>
            </w:pPr>
            <w:r>
              <w:rPr>
                <w:sz w:val="20"/>
              </w:rPr>
              <w:t>Ability to reach an analytical conclusion and a resolution</w:t>
            </w:r>
          </w:p>
          <w:p w14:paraId="716650FE" w14:textId="5037DA8A" w:rsidR="00BE5646" w:rsidRPr="00BE5646" w:rsidRDefault="00BE5646" w:rsidP="00351663">
            <w:pPr>
              <w:pStyle w:val="ListParagraph"/>
              <w:numPr>
                <w:ilvl w:val="0"/>
                <w:numId w:val="13"/>
              </w:numPr>
              <w:rPr>
                <w:sz w:val="20"/>
              </w:rPr>
            </w:pPr>
            <w:r>
              <w:rPr>
                <w:sz w:val="20"/>
              </w:rPr>
              <w:t>Clarity in writing and ability to present ideas in a clear and organized manner.</w:t>
            </w:r>
          </w:p>
          <w:p w14:paraId="0E1C188B" w14:textId="77777777" w:rsidR="00E06F48" w:rsidRPr="00BE5646" w:rsidRDefault="00E06F48" w:rsidP="00351663">
            <w:pPr>
              <w:rPr>
                <w:sz w:val="13"/>
              </w:rPr>
            </w:pPr>
            <w:bookmarkStart w:id="0" w:name="_GoBack"/>
            <w:bookmarkEnd w:id="0"/>
          </w:p>
          <w:p w14:paraId="66E64B49" w14:textId="77777777" w:rsidR="00E06F48" w:rsidRPr="00905CCE" w:rsidRDefault="00E06F48" w:rsidP="00351663">
            <w:pPr>
              <w:rPr>
                <w:sz w:val="20"/>
              </w:rPr>
            </w:pPr>
            <w:r w:rsidRPr="00905CCE">
              <w:rPr>
                <w:sz w:val="20"/>
              </w:rPr>
              <w:t>Minimum Criteria for Success:</w:t>
            </w:r>
          </w:p>
          <w:p w14:paraId="2BE3119A" w14:textId="54E3086A" w:rsidR="00E06F48" w:rsidRPr="00BE5646" w:rsidRDefault="00BE5646" w:rsidP="00351663">
            <w:pPr>
              <w:rPr>
                <w:color w:val="000000" w:themeColor="text1"/>
                <w:sz w:val="20"/>
              </w:rPr>
            </w:pPr>
            <w:r>
              <w:rPr>
                <w:color w:val="000000" w:themeColor="text1"/>
                <w:sz w:val="20"/>
              </w:rPr>
              <w:t>A minimum grade of C on the assignment</w:t>
            </w:r>
          </w:p>
          <w:p w14:paraId="0DE3EEE4" w14:textId="5D6B5E0A" w:rsidR="00E06F48" w:rsidRDefault="00E06F48" w:rsidP="00351663">
            <w:pPr>
              <w:rPr>
                <w:i/>
                <w:color w:val="0070C0"/>
                <w:sz w:val="20"/>
              </w:rPr>
            </w:pPr>
          </w:p>
          <w:p w14:paraId="2E757104" w14:textId="24C6ADDD" w:rsidR="00BE5646" w:rsidRDefault="00E06F48" w:rsidP="00351663">
            <w:pPr>
              <w:rPr>
                <w:sz w:val="20"/>
              </w:rPr>
            </w:pPr>
            <w:r>
              <w:rPr>
                <w:sz w:val="20"/>
              </w:rPr>
              <w:t>Sample:</w:t>
            </w:r>
          </w:p>
          <w:p w14:paraId="0C2CB410" w14:textId="6382B475" w:rsidR="00E06F48" w:rsidRPr="00BE5646" w:rsidRDefault="00BE5646" w:rsidP="00BE5646">
            <w:pPr>
              <w:rPr>
                <w:sz w:val="20"/>
              </w:rPr>
            </w:pPr>
            <w:r>
              <w:rPr>
                <w:sz w:val="20"/>
              </w:rPr>
              <w:t>All students will be assessed.</w:t>
            </w:r>
          </w:p>
        </w:tc>
        <w:tc>
          <w:tcPr>
            <w:tcW w:w="3584"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7214C0FE" w14:textId="52D9D3F3" w:rsidR="00E06F48" w:rsidRPr="003D281E" w:rsidRDefault="00E06F48" w:rsidP="00BE5646">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rsidTr="00BE5646">
        <w:trPr>
          <w:trHeight w:val="260"/>
        </w:trPr>
        <w:tc>
          <w:tcPr>
            <w:tcW w:w="3217" w:type="dxa"/>
          </w:tcPr>
          <w:p w14:paraId="57D9E0C0" w14:textId="77777777" w:rsidR="00E06F48" w:rsidRPr="003D281E" w:rsidRDefault="00E06F48" w:rsidP="00351663">
            <w:pPr>
              <w:rPr>
                <w:b/>
                <w:sz w:val="20"/>
              </w:rPr>
            </w:pPr>
            <w:r>
              <w:rPr>
                <w:b/>
                <w:sz w:val="20"/>
              </w:rPr>
              <w:t>Course Learning Outcome</w:t>
            </w:r>
          </w:p>
        </w:tc>
        <w:tc>
          <w:tcPr>
            <w:tcW w:w="6030" w:type="dxa"/>
            <w:vMerge/>
          </w:tcPr>
          <w:p w14:paraId="5C9003DC" w14:textId="77777777" w:rsidR="00E06F48" w:rsidRPr="003D281E" w:rsidRDefault="00E06F48" w:rsidP="00351663">
            <w:pPr>
              <w:rPr>
                <w:sz w:val="22"/>
              </w:rPr>
            </w:pPr>
          </w:p>
        </w:tc>
        <w:tc>
          <w:tcPr>
            <w:tcW w:w="3584" w:type="dxa"/>
            <w:vMerge/>
          </w:tcPr>
          <w:p w14:paraId="1BF0EE29" w14:textId="77777777" w:rsidR="00E06F48" w:rsidRPr="003D281E" w:rsidRDefault="00E06F48" w:rsidP="00351663">
            <w:pPr>
              <w:rPr>
                <w:sz w:val="22"/>
              </w:rPr>
            </w:pPr>
          </w:p>
        </w:tc>
      </w:tr>
      <w:tr w:rsidR="00E06F48" w:rsidRPr="00F632F6" w14:paraId="3A9F76CC" w14:textId="77777777" w:rsidTr="00BE5646">
        <w:trPr>
          <w:trHeight w:val="2393"/>
        </w:trPr>
        <w:tc>
          <w:tcPr>
            <w:tcW w:w="3217" w:type="dxa"/>
          </w:tcPr>
          <w:p w14:paraId="1E1E0D1C" w14:textId="1CCEF494" w:rsidR="00E06F48" w:rsidRPr="00BE5646" w:rsidRDefault="00BE5646" w:rsidP="00351663">
            <w:pPr>
              <w:rPr>
                <w:color w:val="0070C0"/>
                <w:sz w:val="20"/>
              </w:rPr>
            </w:pPr>
            <w:r>
              <w:rPr>
                <w:color w:val="000000" w:themeColor="text1"/>
                <w:sz w:val="20"/>
              </w:rPr>
              <w:t xml:space="preserve">Students will consider different perspectives on a specific problem or debate and attempt to reach a resolution. They will engage in activities and discussions in which they establish connections between urban cultures and explore the ways in which issues like urbanization, public art, and lived experience, developed in different geographic locations. </w:t>
            </w:r>
          </w:p>
        </w:tc>
        <w:tc>
          <w:tcPr>
            <w:tcW w:w="6030" w:type="dxa"/>
            <w:vMerge/>
          </w:tcPr>
          <w:p w14:paraId="01E9AE03" w14:textId="77777777" w:rsidR="00E06F48" w:rsidRPr="003D281E" w:rsidRDefault="00E06F48" w:rsidP="00351663">
            <w:pPr>
              <w:rPr>
                <w:sz w:val="22"/>
              </w:rPr>
            </w:pPr>
          </w:p>
        </w:tc>
        <w:tc>
          <w:tcPr>
            <w:tcW w:w="3584"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E27E6" w14:textId="77777777" w:rsidR="009C000C" w:rsidRDefault="009C000C">
      <w:r>
        <w:separator/>
      </w:r>
    </w:p>
  </w:endnote>
  <w:endnote w:type="continuationSeparator" w:id="0">
    <w:p w14:paraId="4EFCF0C9" w14:textId="77777777" w:rsidR="009C000C" w:rsidRDefault="009C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371B8E">
      <w:rPr>
        <w:rStyle w:val="PageNumber"/>
        <w:noProof/>
        <w:sz w:val="20"/>
      </w:rPr>
      <w:t>1</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CEA31" w14:textId="77777777" w:rsidR="009C000C" w:rsidRDefault="009C000C">
      <w:r>
        <w:separator/>
      </w:r>
    </w:p>
  </w:footnote>
  <w:footnote w:type="continuationSeparator" w:id="0">
    <w:p w14:paraId="14D346C5" w14:textId="77777777" w:rsidR="009C000C" w:rsidRDefault="009C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77777777" w:rsidR="007821C4" w:rsidRPr="00581F94" w:rsidRDefault="007821C4" w:rsidP="00351663">
    <w:pPr>
      <w:rPr>
        <w:sz w:val="20"/>
      </w:rPr>
    </w:pPr>
    <w:r w:rsidRPr="00581F94">
      <w:rPr>
        <w:sz w:val="20"/>
      </w:rPr>
      <w:t>Faculty Name:</w:t>
    </w:r>
  </w:p>
  <w:p w14:paraId="16B15278" w14:textId="725A158C" w:rsidR="007821C4" w:rsidRPr="00581F94" w:rsidRDefault="007821C4" w:rsidP="00351663">
    <w:pPr>
      <w:rPr>
        <w:sz w:val="20"/>
      </w:rPr>
    </w:pPr>
    <w:r w:rsidRPr="00581F94">
      <w:rPr>
        <w:sz w:val="20"/>
      </w:rPr>
      <w:t xml:space="preserve">Course:  </w:t>
    </w:r>
    <w:r w:rsidR="00896A0D">
      <w:rPr>
        <w:color w:val="000000" w:themeColor="text1"/>
        <w:sz w:val="20"/>
      </w:rPr>
      <w:t>HIS 4400 – The Formation of Urban Society</w:t>
    </w:r>
    <w:r w:rsidRPr="00581F94">
      <w:rPr>
        <w:sz w:val="20"/>
      </w:rPr>
      <w:tab/>
    </w:r>
  </w:p>
  <w:p w14:paraId="2BB58D01" w14:textId="58499D57" w:rsidR="007821C4" w:rsidRPr="00581F94" w:rsidRDefault="007821C4" w:rsidP="00351663">
    <w:pPr>
      <w:rPr>
        <w:sz w:val="20"/>
      </w:rPr>
    </w:pPr>
    <w:r w:rsidRPr="00581F94">
      <w:rPr>
        <w:sz w:val="20"/>
      </w:rPr>
      <w:t>Academic Unit:</w:t>
    </w:r>
    <w:r w:rsidRPr="00581F94">
      <w:rPr>
        <w:sz w:val="20"/>
      </w:rPr>
      <w:tab/>
    </w:r>
    <w:r>
      <w:rPr>
        <w:sz w:val="20"/>
      </w:rPr>
      <w:tab/>
    </w:r>
    <w:r w:rsidR="00896A0D">
      <w:rPr>
        <w:sz w:val="20"/>
      </w:rPr>
      <w:t>History</w:t>
    </w:r>
    <w:r>
      <w:rPr>
        <w:sz w:val="20"/>
      </w:rPr>
      <w:tab/>
    </w:r>
    <w:r>
      <w:rPr>
        <w:sz w:val="20"/>
      </w:rPr>
      <w:tab/>
    </w:r>
    <w:r>
      <w:rPr>
        <w:sz w:val="20"/>
      </w:rPr>
      <w:tab/>
    </w:r>
    <w:r>
      <w:rPr>
        <w:sz w:val="20"/>
      </w:rPr>
      <w:tab/>
      <w:t>Degree Program:</w:t>
    </w:r>
    <w:r w:rsidR="00896A0D">
      <w:rPr>
        <w:sz w:val="20"/>
      </w:rPr>
      <w:t xml:space="preserve"> BA History</w:t>
    </w:r>
    <w:r w:rsidR="00896A0D">
      <w:rPr>
        <w:sz w:val="20"/>
      </w:rPr>
      <w:tab/>
    </w:r>
    <w:r w:rsidR="00896A0D">
      <w:rPr>
        <w:sz w:val="20"/>
      </w:rPr>
      <w:tab/>
    </w:r>
    <w:r w:rsidR="00896A0D">
      <w:rPr>
        <w:sz w:val="20"/>
      </w:rPr>
      <w:tab/>
    </w:r>
    <w:r w:rsidR="00896A0D">
      <w:rPr>
        <w:sz w:val="20"/>
      </w:rPr>
      <w:tab/>
    </w:r>
    <w:r>
      <w:rPr>
        <w:sz w:val="20"/>
      </w:rPr>
      <w:t>Semester Assessed:</w:t>
    </w:r>
    <w:r w:rsidRPr="003D281E">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D34C0"/>
    <w:multiLevelType w:val="hybridMultilevel"/>
    <w:tmpl w:val="F558C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791F2B"/>
    <w:multiLevelType w:val="hybridMultilevel"/>
    <w:tmpl w:val="CF24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5160147"/>
    <w:multiLevelType w:val="hybridMultilevel"/>
    <w:tmpl w:val="78024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9861CA"/>
    <w:multiLevelType w:val="hybridMultilevel"/>
    <w:tmpl w:val="A852C7AC"/>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3"/>
  </w:num>
  <w:num w:numId="5">
    <w:abstractNumId w:val="0"/>
  </w:num>
  <w:num w:numId="6">
    <w:abstractNumId w:val="4"/>
  </w:num>
  <w:num w:numId="7">
    <w:abstractNumId w:val="1"/>
  </w:num>
  <w:num w:numId="8">
    <w:abstractNumId w:val="12"/>
  </w:num>
  <w:num w:numId="9">
    <w:abstractNumId w:val="11"/>
  </w:num>
  <w:num w:numId="10">
    <w:abstractNumId w:val="9"/>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0"/>
    <w:rsid w:val="00006426"/>
    <w:rsid w:val="00033DC1"/>
    <w:rsid w:val="000A27AC"/>
    <w:rsid w:val="000A6A6F"/>
    <w:rsid w:val="000B36A7"/>
    <w:rsid w:val="000C4B42"/>
    <w:rsid w:val="002434C6"/>
    <w:rsid w:val="00252A6F"/>
    <w:rsid w:val="00322532"/>
    <w:rsid w:val="00327B81"/>
    <w:rsid w:val="00345845"/>
    <w:rsid w:val="00351663"/>
    <w:rsid w:val="00371B8E"/>
    <w:rsid w:val="003E132D"/>
    <w:rsid w:val="003F3DB7"/>
    <w:rsid w:val="00445D50"/>
    <w:rsid w:val="00521FFD"/>
    <w:rsid w:val="00581F94"/>
    <w:rsid w:val="005C58EB"/>
    <w:rsid w:val="006A06CE"/>
    <w:rsid w:val="006F77DC"/>
    <w:rsid w:val="007505D0"/>
    <w:rsid w:val="007821C4"/>
    <w:rsid w:val="00795F81"/>
    <w:rsid w:val="007D21C5"/>
    <w:rsid w:val="007E59DB"/>
    <w:rsid w:val="00896A0D"/>
    <w:rsid w:val="008E2DC9"/>
    <w:rsid w:val="00917914"/>
    <w:rsid w:val="00943D59"/>
    <w:rsid w:val="0096278D"/>
    <w:rsid w:val="009C000C"/>
    <w:rsid w:val="00AE165F"/>
    <w:rsid w:val="00B41437"/>
    <w:rsid w:val="00B95595"/>
    <w:rsid w:val="00BE5646"/>
    <w:rsid w:val="00C65DDB"/>
    <w:rsid w:val="00C85AD3"/>
    <w:rsid w:val="00D46EE4"/>
    <w:rsid w:val="00D752D6"/>
    <w:rsid w:val="00DA5804"/>
    <w:rsid w:val="00DC61D0"/>
    <w:rsid w:val="00DE3FD1"/>
    <w:rsid w:val="00E06F48"/>
    <w:rsid w:val="00E6631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0A6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6</cp:revision>
  <cp:lastPrinted>2010-06-30T14:21:00Z</cp:lastPrinted>
  <dcterms:created xsi:type="dcterms:W3CDTF">2018-06-13T18:40:00Z</dcterms:created>
  <dcterms:modified xsi:type="dcterms:W3CDTF">2018-06-14T16:50:00Z</dcterms:modified>
</cp:coreProperties>
</file>