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DB168A9" w14:textId="77777777" w:rsidR="00B70255" w:rsidRPr="00A74714" w:rsidRDefault="00B70255" w:rsidP="00B70255">
            <w:pPr>
              <w:rPr>
                <w:iCs/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>
              <w:rPr>
                <w:sz w:val="20"/>
              </w:rPr>
              <w:t xml:space="preserve">  Students will generate research questions based on o</w:t>
            </w:r>
            <w:r w:rsidRPr="00A74714">
              <w:rPr>
                <w:iCs/>
                <w:sz w:val="20"/>
              </w:rPr>
              <w:t xml:space="preserve">n-site discussion in Hollywood </w:t>
            </w:r>
            <w:r>
              <w:rPr>
                <w:iCs/>
                <w:sz w:val="20"/>
              </w:rPr>
              <w:t xml:space="preserve">about </w:t>
            </w:r>
            <w:r w:rsidRPr="00A74714">
              <w:rPr>
                <w:iCs/>
                <w:sz w:val="20"/>
              </w:rPr>
              <w:t xml:space="preserve">Québécois </w:t>
            </w:r>
            <w:r>
              <w:rPr>
                <w:iCs/>
                <w:sz w:val="20"/>
              </w:rPr>
              <w:t xml:space="preserve">French.  </w:t>
            </w:r>
          </w:p>
          <w:p w14:paraId="4A08FDDA" w14:textId="77777777" w:rsidR="00B70255" w:rsidRDefault="00B70255" w:rsidP="00B70255">
            <w:pPr>
              <w:rPr>
                <w:sz w:val="20"/>
              </w:rPr>
            </w:pPr>
          </w:p>
          <w:p w14:paraId="55FF61BF" w14:textId="77777777" w:rsidR="00B70255" w:rsidRPr="00905CCE" w:rsidRDefault="00B70255" w:rsidP="00B70255">
            <w:pPr>
              <w:rPr>
                <w:sz w:val="20"/>
              </w:rPr>
            </w:pPr>
          </w:p>
          <w:p w14:paraId="4155B627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>
              <w:rPr>
                <w:sz w:val="20"/>
              </w:rPr>
              <w:t xml:space="preserve">  Students will answer one of the student-generated questions as a take-home question for Exam 1.</w:t>
            </w:r>
          </w:p>
          <w:p w14:paraId="1039C0E0" w14:textId="77777777" w:rsidR="00B70255" w:rsidRPr="00905CCE" w:rsidRDefault="00B70255" w:rsidP="00B70255">
            <w:pPr>
              <w:rPr>
                <w:sz w:val="20"/>
              </w:rPr>
            </w:pPr>
          </w:p>
          <w:p w14:paraId="12A90886" w14:textId="77777777" w:rsidR="00B70255" w:rsidRPr="00905CCE" w:rsidRDefault="00B70255" w:rsidP="00B70255">
            <w:pPr>
              <w:rPr>
                <w:sz w:val="20"/>
              </w:rPr>
            </w:pPr>
          </w:p>
          <w:p w14:paraId="79B8CA87" w14:textId="77777777" w:rsidR="00B70255" w:rsidRDefault="00B70255" w:rsidP="00B70255">
            <w:pPr>
              <w:rPr>
                <w:sz w:val="20"/>
              </w:rPr>
            </w:pPr>
          </w:p>
          <w:p w14:paraId="413E92AE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>
              <w:rPr>
                <w:sz w:val="20"/>
              </w:rPr>
              <w:t xml:space="preserve">  80% of students will score 75/100 (C average) or better on take-home question; no student will score less than 60/100 (D- average).  </w:t>
            </w:r>
          </w:p>
          <w:p w14:paraId="188DFDF2" w14:textId="77777777" w:rsidR="00B70255" w:rsidRDefault="00B70255" w:rsidP="00B70255">
            <w:pPr>
              <w:rPr>
                <w:sz w:val="20"/>
              </w:rPr>
            </w:pPr>
          </w:p>
          <w:p w14:paraId="1A53F380" w14:textId="77777777" w:rsidR="00B70255" w:rsidRDefault="00B70255" w:rsidP="00B70255">
            <w:pPr>
              <w:rPr>
                <w:sz w:val="20"/>
              </w:rPr>
            </w:pPr>
          </w:p>
          <w:p w14:paraId="21B12D06" w14:textId="77777777" w:rsidR="00B70255" w:rsidRDefault="00B70255" w:rsidP="00B70255">
            <w:pPr>
              <w:rPr>
                <w:sz w:val="20"/>
              </w:rPr>
            </w:pPr>
            <w:r>
              <w:rPr>
                <w:sz w:val="20"/>
              </w:rPr>
              <w:t>Sample:  All students</w:t>
            </w:r>
            <w:r>
              <w:rPr>
                <w:sz w:val="20"/>
              </w:rPr>
              <w:t xml:space="preserve"> will be assessed.</w:t>
            </w:r>
          </w:p>
          <w:p w14:paraId="25190983" w14:textId="77777777" w:rsidR="00B70255" w:rsidRDefault="00B70255" w:rsidP="00B70255">
            <w:pPr>
              <w:rPr>
                <w:sz w:val="20"/>
              </w:rPr>
            </w:pPr>
          </w:p>
          <w:p w14:paraId="16CD436F" w14:textId="77777777" w:rsidR="00B70255" w:rsidRDefault="00B70255" w:rsidP="00B70255">
            <w:pPr>
              <w:rPr>
                <w:sz w:val="20"/>
              </w:rPr>
            </w:pPr>
          </w:p>
          <w:p w14:paraId="5BA0C6B9" w14:textId="77777777" w:rsidR="00B70255" w:rsidRDefault="00B70255" w:rsidP="00B70255">
            <w:pPr>
              <w:rPr>
                <w:sz w:val="20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4C8EA142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5792D066" w14:textId="77777777" w:rsidR="00B70255" w:rsidRPr="002045AA" w:rsidRDefault="00B70255" w:rsidP="00B70255">
            <w:pPr>
              <w:rPr>
                <w:iCs/>
                <w:sz w:val="20"/>
              </w:rPr>
            </w:pPr>
            <w:r w:rsidRPr="002045AA">
              <w:rPr>
                <w:iCs/>
                <w:sz w:val="20"/>
              </w:rPr>
              <w:t xml:space="preserve">Students will be able to </w:t>
            </w:r>
            <w:r>
              <w:rPr>
                <w:iCs/>
                <w:sz w:val="20"/>
              </w:rPr>
              <w:t xml:space="preserve">analyze </w:t>
            </w:r>
            <w:r w:rsidRPr="002045AA">
              <w:rPr>
                <w:iCs/>
                <w:sz w:val="20"/>
              </w:rPr>
              <w:t xml:space="preserve">the interconnections between historical events, political regimes, and linguistic changes that have led to the creation of different varieties of French around the world.   </w:t>
            </w:r>
          </w:p>
          <w:p w14:paraId="0C2C79FF" w14:textId="2827B6DB" w:rsidR="00E06F48" w:rsidRPr="00B70255" w:rsidRDefault="00E06F48" w:rsidP="00B70255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7669C3F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  <w:r>
              <w:rPr>
                <w:sz w:val="20"/>
              </w:rPr>
              <w:t xml:space="preserve"> Socratic circle discussions on bilingualism in Senegal, the place of women in Senegal, and African decolonization after viewing </w:t>
            </w:r>
            <w:proofErr w:type="spellStart"/>
            <w:r w:rsidRPr="003A038D">
              <w:rPr>
                <w:i/>
                <w:iCs/>
                <w:sz w:val="20"/>
              </w:rPr>
              <w:t>Xala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  <w:p w14:paraId="789AB0FA" w14:textId="77777777" w:rsidR="00B70255" w:rsidRPr="00905CCE" w:rsidRDefault="00B70255" w:rsidP="00B70255">
            <w:pPr>
              <w:rPr>
                <w:sz w:val="20"/>
              </w:rPr>
            </w:pPr>
          </w:p>
          <w:p w14:paraId="61846154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  <w:r>
              <w:rPr>
                <w:sz w:val="20"/>
              </w:rPr>
              <w:t xml:space="preserve">  Evaluate if students can (1) identify perspective (knowledge), (2) subtle perspective (analysis), and (3) problem solve (synthesis) in the </w:t>
            </w:r>
            <w:proofErr w:type="spellStart"/>
            <w:r w:rsidRPr="003A038D">
              <w:rPr>
                <w:i/>
                <w:iCs/>
                <w:sz w:val="20"/>
              </w:rPr>
              <w:t>Xala</w:t>
            </w:r>
            <w:proofErr w:type="spellEnd"/>
            <w:r>
              <w:rPr>
                <w:sz w:val="20"/>
              </w:rPr>
              <w:t xml:space="preserve"> Socratic circle discussions.</w:t>
            </w:r>
          </w:p>
          <w:p w14:paraId="2E96ACC2" w14:textId="77777777" w:rsidR="00B70255" w:rsidRPr="00905CCE" w:rsidRDefault="00B70255" w:rsidP="00B70255">
            <w:pPr>
              <w:rPr>
                <w:sz w:val="20"/>
              </w:rPr>
            </w:pPr>
          </w:p>
          <w:p w14:paraId="53D08932" w14:textId="77777777" w:rsidR="00B70255" w:rsidRDefault="00B70255" w:rsidP="00B70255">
            <w:pPr>
              <w:rPr>
                <w:sz w:val="20"/>
              </w:rPr>
            </w:pPr>
          </w:p>
          <w:p w14:paraId="022C34C2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>
              <w:rPr>
                <w:sz w:val="20"/>
              </w:rPr>
              <w:t xml:space="preserve">  All students will be able to identify global perspective; 75% of students will show the ability for subtle perspective; 75% of students will show an aptitude for problem solving during the discussion.</w:t>
            </w:r>
          </w:p>
          <w:p w14:paraId="74F0B809" w14:textId="77777777" w:rsidR="00B70255" w:rsidRDefault="00B70255" w:rsidP="00B70255">
            <w:pPr>
              <w:rPr>
                <w:sz w:val="20"/>
              </w:rPr>
            </w:pPr>
          </w:p>
          <w:p w14:paraId="6104FBF9" w14:textId="77777777" w:rsidR="00B70255" w:rsidRDefault="00B70255" w:rsidP="00B70255">
            <w:pPr>
              <w:rPr>
                <w:i/>
                <w:color w:val="0070C0"/>
                <w:sz w:val="20"/>
              </w:rPr>
            </w:pPr>
          </w:p>
          <w:p w14:paraId="17436BA8" w14:textId="77BA1CC1" w:rsidR="00B70255" w:rsidRDefault="00B70255" w:rsidP="00B70255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Sample:  All students</w:t>
            </w:r>
            <w:r>
              <w:rPr>
                <w:sz w:val="20"/>
              </w:rPr>
              <w:t xml:space="preserve"> will be assessed.</w:t>
            </w:r>
          </w:p>
          <w:p w14:paraId="1085CA99" w14:textId="77777777" w:rsidR="00B70255" w:rsidRDefault="00B70255" w:rsidP="00B70255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9EE1BC3" w14:textId="77777777" w:rsidR="00B70255" w:rsidRDefault="00B70255" w:rsidP="00351663">
            <w:pPr>
              <w:rPr>
                <w:i/>
                <w:color w:val="0070C0"/>
                <w:sz w:val="22"/>
              </w:rPr>
            </w:pPr>
          </w:p>
          <w:p w14:paraId="7EABE738" w14:textId="77777777" w:rsidR="00B70255" w:rsidRDefault="00B70255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7ECD7956" w14:textId="77777777" w:rsidR="00B70255" w:rsidRPr="003A038D" w:rsidRDefault="00B70255" w:rsidP="00B70255">
            <w:pPr>
              <w:rPr>
                <w:sz w:val="20"/>
                <w:szCs w:val="20"/>
              </w:rPr>
            </w:pPr>
            <w:r w:rsidRPr="003A038D">
              <w:rPr>
                <w:sz w:val="20"/>
                <w:szCs w:val="20"/>
              </w:rPr>
              <w:t xml:space="preserve">Students will be able to analyze a complicated multilingual situation where French is spoken alongside other languages in terms of multiple cultural perspectives.  </w:t>
            </w:r>
          </w:p>
          <w:p w14:paraId="3E541137" w14:textId="6F2F25E3" w:rsidR="00E06F48" w:rsidRPr="00B70255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54D81A3" w14:textId="77777777" w:rsidR="00B70255" w:rsidRPr="00905CCE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972FC7F" w14:textId="77777777" w:rsidR="00B70255" w:rsidRDefault="00B70255" w:rsidP="00B7025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Written reflections before and after visit to Little Haiti; o</w:t>
            </w:r>
            <w:r w:rsidRPr="00A74714">
              <w:rPr>
                <w:iCs/>
                <w:sz w:val="20"/>
              </w:rPr>
              <w:t xml:space="preserve">n-site discussion in </w:t>
            </w:r>
            <w:r>
              <w:rPr>
                <w:sz w:val="20"/>
              </w:rPr>
              <w:t>Little Haiti</w:t>
            </w:r>
            <w:r w:rsidRPr="00A74714">
              <w:rPr>
                <w:iCs/>
                <w:sz w:val="20"/>
              </w:rPr>
              <w:t xml:space="preserve"> on language attitudes after </w:t>
            </w:r>
            <w:r>
              <w:rPr>
                <w:iCs/>
                <w:sz w:val="20"/>
              </w:rPr>
              <w:t>excursion.</w:t>
            </w:r>
          </w:p>
          <w:p w14:paraId="0BBC74D1" w14:textId="77777777" w:rsidR="00B70255" w:rsidRPr="00905CCE" w:rsidRDefault="00B70255" w:rsidP="00B70255">
            <w:pPr>
              <w:rPr>
                <w:sz w:val="20"/>
              </w:rPr>
            </w:pPr>
          </w:p>
          <w:p w14:paraId="57DA2D4C" w14:textId="77777777" w:rsidR="00B70255" w:rsidRPr="00905CCE" w:rsidRDefault="00B70255" w:rsidP="00B70255">
            <w:pPr>
              <w:rPr>
                <w:sz w:val="20"/>
              </w:rPr>
            </w:pPr>
          </w:p>
          <w:p w14:paraId="68089F5D" w14:textId="77777777" w:rsidR="00B70255" w:rsidRPr="00905CCE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2DD69C10" w14:textId="77777777" w:rsidR="00B70255" w:rsidRDefault="00B70255" w:rsidP="00B70255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Two essays on (1) what students expected to see in Little Haiti and (2) what they saw in Little Haiti with discussion of differences of perceptions.</w:t>
            </w:r>
          </w:p>
          <w:p w14:paraId="1D2DCD28" w14:textId="77777777" w:rsidR="00B70255" w:rsidRDefault="00B70255" w:rsidP="00B70255">
            <w:pPr>
              <w:rPr>
                <w:sz w:val="20"/>
              </w:rPr>
            </w:pPr>
          </w:p>
          <w:p w14:paraId="01244BFB" w14:textId="77777777" w:rsidR="00B70255" w:rsidRDefault="00B70255" w:rsidP="00B70255">
            <w:pPr>
              <w:rPr>
                <w:sz w:val="20"/>
              </w:rPr>
            </w:pPr>
          </w:p>
          <w:p w14:paraId="6883847E" w14:textId="77777777" w:rsidR="00B70255" w:rsidRDefault="00B70255" w:rsidP="00B70255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>
              <w:rPr>
                <w:sz w:val="20"/>
              </w:rPr>
              <w:t xml:space="preserve">  80% of students will score 75/100 (C average) or better on the second w</w:t>
            </w:r>
            <w:r>
              <w:rPr>
                <w:iCs/>
                <w:sz w:val="20"/>
              </w:rPr>
              <w:t>ritten reflection</w:t>
            </w:r>
            <w:r>
              <w:rPr>
                <w:sz w:val="20"/>
              </w:rPr>
              <w:t xml:space="preserve">; no student will score less than 60/100 (D- average).  </w:t>
            </w:r>
          </w:p>
          <w:p w14:paraId="187ECB57" w14:textId="77777777" w:rsidR="00B70255" w:rsidRDefault="00B70255" w:rsidP="00B70255">
            <w:pPr>
              <w:rPr>
                <w:i/>
                <w:color w:val="0070C0"/>
                <w:sz w:val="20"/>
              </w:rPr>
            </w:pPr>
          </w:p>
          <w:p w14:paraId="1F9D0E6D" w14:textId="77777777" w:rsidR="00B70255" w:rsidRDefault="00B70255" w:rsidP="00B70255">
            <w:pPr>
              <w:rPr>
                <w:i/>
                <w:color w:val="0070C0"/>
                <w:sz w:val="20"/>
              </w:rPr>
            </w:pPr>
          </w:p>
          <w:p w14:paraId="673F4031" w14:textId="7414CD76" w:rsidR="00B70255" w:rsidRDefault="00B70255" w:rsidP="00B70255">
            <w:pPr>
              <w:rPr>
                <w:sz w:val="20"/>
              </w:rPr>
            </w:pPr>
            <w:r>
              <w:rPr>
                <w:sz w:val="20"/>
              </w:rPr>
              <w:t>Sample:  All students</w:t>
            </w:r>
            <w:r>
              <w:rPr>
                <w:sz w:val="20"/>
              </w:rPr>
              <w:t xml:space="preserve"> will be assessed.</w:t>
            </w:r>
          </w:p>
          <w:p w14:paraId="008E746B" w14:textId="77777777" w:rsidR="00B70255" w:rsidRDefault="00B70255" w:rsidP="00B70255">
            <w:pPr>
              <w:rPr>
                <w:i/>
                <w:color w:val="0070C0"/>
                <w:sz w:val="22"/>
              </w:rPr>
            </w:pPr>
          </w:p>
          <w:p w14:paraId="31A21BCB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256C29C3" w14:textId="0A8EE86C" w:rsidR="00B70255" w:rsidRPr="002045AA" w:rsidRDefault="00B70255" w:rsidP="00B70255">
            <w:pPr>
              <w:rPr>
                <w:iCs/>
                <w:sz w:val="20"/>
              </w:rPr>
            </w:pPr>
            <w:r w:rsidRPr="002045AA">
              <w:rPr>
                <w:iCs/>
                <w:sz w:val="20"/>
              </w:rPr>
              <w:t xml:space="preserve">Students will be able to </w:t>
            </w:r>
            <w:r>
              <w:rPr>
                <w:iCs/>
                <w:sz w:val="20"/>
              </w:rPr>
              <w:t xml:space="preserve">demonstrate </w:t>
            </w:r>
            <w:proofErr w:type="gramStart"/>
            <w:r>
              <w:rPr>
                <w:iCs/>
                <w:sz w:val="20"/>
              </w:rPr>
              <w:t>an o</w:t>
            </w:r>
            <w:r>
              <w:rPr>
                <w:iCs/>
                <w:sz w:val="20"/>
              </w:rPr>
              <w:t>penness</w:t>
            </w:r>
            <w:proofErr w:type="gramEnd"/>
            <w:r>
              <w:rPr>
                <w:iCs/>
                <w:sz w:val="20"/>
              </w:rPr>
              <w:t xml:space="preserve"> (and an ability to convince others to be open) to </w:t>
            </w:r>
            <w:r w:rsidRPr="002045AA">
              <w:rPr>
                <w:iCs/>
                <w:sz w:val="20"/>
              </w:rPr>
              <w:t>the cultural significance of language varieties other than standard metropolitan French (e.g., Quebecois French, Haitian Creole)</w:t>
            </w:r>
            <w:r>
              <w:rPr>
                <w:iCs/>
                <w:sz w:val="20"/>
              </w:rPr>
              <w:t>.</w:t>
            </w:r>
          </w:p>
          <w:p w14:paraId="1E1E0D1C" w14:textId="5FADB100" w:rsidR="00E06F48" w:rsidRPr="00B70255" w:rsidRDefault="00E06F48" w:rsidP="0035166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70255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788FB50C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B70255">
      <w:rPr>
        <w:sz w:val="20"/>
      </w:rPr>
      <w:t xml:space="preserve">FRE 4503, La </w:t>
    </w:r>
    <w:proofErr w:type="spellStart"/>
    <w:r w:rsidR="00B70255">
      <w:rPr>
        <w:sz w:val="20"/>
      </w:rPr>
      <w:t>Francophonie</w:t>
    </w:r>
    <w:proofErr w:type="spellEnd"/>
    <w:r w:rsidRPr="00581F94">
      <w:rPr>
        <w:sz w:val="20"/>
      </w:rPr>
      <w:tab/>
    </w:r>
  </w:p>
  <w:p w14:paraId="2BB58D01" w14:textId="1900427B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70255">
      <w:rPr>
        <w:sz w:val="20"/>
      </w:rPr>
      <w:t xml:space="preserve"> Modern Languages</w:t>
    </w:r>
    <w:r w:rsidR="00B70255">
      <w:rPr>
        <w:sz w:val="20"/>
      </w:rPr>
      <w:tab/>
    </w:r>
    <w:r w:rsidR="00B70255">
      <w:rPr>
        <w:sz w:val="20"/>
      </w:rPr>
      <w:tab/>
    </w:r>
    <w:r w:rsidR="00B70255">
      <w:rPr>
        <w:sz w:val="20"/>
      </w:rPr>
      <w:tab/>
    </w:r>
    <w:r>
      <w:rPr>
        <w:sz w:val="20"/>
      </w:rPr>
      <w:t>Degree Program:</w:t>
    </w:r>
    <w:r w:rsidR="00B70255">
      <w:rPr>
        <w:sz w:val="20"/>
      </w:rPr>
      <w:t xml:space="preserve"> B.A. French</w:t>
    </w:r>
    <w:r w:rsidR="00B70255">
      <w:rPr>
        <w:sz w:val="20"/>
      </w:rPr>
      <w:tab/>
    </w:r>
    <w:r w:rsidR="00B70255">
      <w:rPr>
        <w:sz w:val="20"/>
      </w:rPr>
      <w:tab/>
    </w:r>
    <w:r w:rsidR="00B70255">
      <w:rPr>
        <w:sz w:val="20"/>
      </w:rPr>
      <w:tab/>
    </w:r>
    <w:r w:rsidR="00B70255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70255"/>
    <w:rsid w:val="00B95595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Stephanie Doscher</cp:lastModifiedBy>
  <cp:revision>2</cp:revision>
  <cp:lastPrinted>2010-06-30T14:21:00Z</cp:lastPrinted>
  <dcterms:created xsi:type="dcterms:W3CDTF">2012-12-12T20:32:00Z</dcterms:created>
  <dcterms:modified xsi:type="dcterms:W3CDTF">2012-12-12T20:32:00Z</dcterms:modified>
</cp:coreProperties>
</file>