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9BE2" w14:textId="77777777" w:rsidR="00E06F48" w:rsidRPr="00FD3E31" w:rsidRDefault="00E06F48" w:rsidP="00351663">
      <w:pPr>
        <w:rPr>
          <w:rFonts w:ascii="Times New Roman" w:hAnsi="Times New Roman"/>
          <w:b/>
          <w:sz w:val="16"/>
          <w:szCs w:val="16"/>
        </w:rPr>
      </w:pPr>
    </w:p>
    <w:tbl>
      <w:tblPr>
        <w:tblW w:w="133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755"/>
        <w:gridCol w:w="3420"/>
      </w:tblGrid>
      <w:tr w:rsidR="00E06F48" w:rsidRPr="00F632F6" w14:paraId="6C6B1AF3" w14:textId="77777777" w:rsidTr="00A43A2D">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5755"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3420"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rsidTr="00A43A2D">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5755" w:type="dxa"/>
            <w:vMerge w:val="restart"/>
          </w:tcPr>
          <w:p w14:paraId="4B4DB45F" w14:textId="77777777" w:rsidR="00E06F48" w:rsidRPr="009B0696" w:rsidRDefault="00E06F48" w:rsidP="00351663">
            <w:pPr>
              <w:rPr>
                <w:sz w:val="16"/>
                <w:szCs w:val="16"/>
              </w:rPr>
            </w:pPr>
            <w:r w:rsidRPr="009B0696">
              <w:rPr>
                <w:sz w:val="16"/>
                <w:szCs w:val="16"/>
              </w:rPr>
              <w:t>Assessment Activity/Artifact:</w:t>
            </w:r>
          </w:p>
          <w:p w14:paraId="0CAD9397" w14:textId="561183FB" w:rsidR="00E06F48" w:rsidRPr="009B0696" w:rsidRDefault="004011FE" w:rsidP="004011FE">
            <w:pPr>
              <w:rPr>
                <w:sz w:val="16"/>
                <w:szCs w:val="16"/>
              </w:rPr>
            </w:pPr>
            <w:r w:rsidRPr="009B0696">
              <w:rPr>
                <w:sz w:val="16"/>
                <w:szCs w:val="16"/>
              </w:rPr>
              <w:t>1. The goal of a formative assessment is to measure student progress in learning. The course instructor can select the assessment that best meets the needs of the class</w:t>
            </w:r>
            <w:r w:rsidR="009B0696" w:rsidRPr="009B0696">
              <w:rPr>
                <w:sz w:val="16"/>
                <w:szCs w:val="16"/>
              </w:rPr>
              <w:t>, including but not limited to the following</w:t>
            </w:r>
            <w:r w:rsidRPr="009B0696">
              <w:rPr>
                <w:sz w:val="16"/>
                <w:szCs w:val="16"/>
              </w:rPr>
              <w:t>:</w:t>
            </w:r>
          </w:p>
          <w:p w14:paraId="066E2354" w14:textId="0C159C8C" w:rsidR="004011FE" w:rsidRPr="009B0696" w:rsidRDefault="004011FE" w:rsidP="004011FE">
            <w:pPr>
              <w:pStyle w:val="ListParagraph"/>
              <w:numPr>
                <w:ilvl w:val="0"/>
                <w:numId w:val="15"/>
              </w:numPr>
              <w:rPr>
                <w:sz w:val="16"/>
                <w:szCs w:val="16"/>
              </w:rPr>
            </w:pPr>
            <w:r w:rsidRPr="009B0696">
              <w:rPr>
                <w:sz w:val="16"/>
                <w:szCs w:val="16"/>
              </w:rPr>
              <w:t>Publisher’s web-based formative assessment</w:t>
            </w:r>
          </w:p>
          <w:p w14:paraId="34236C8B" w14:textId="37906B7D" w:rsidR="004011FE" w:rsidRPr="009B0696" w:rsidRDefault="004011FE" w:rsidP="004011FE">
            <w:pPr>
              <w:pStyle w:val="ListParagraph"/>
              <w:numPr>
                <w:ilvl w:val="0"/>
                <w:numId w:val="15"/>
              </w:numPr>
              <w:rPr>
                <w:sz w:val="16"/>
                <w:szCs w:val="16"/>
              </w:rPr>
            </w:pPr>
            <w:r w:rsidRPr="009B0696">
              <w:rPr>
                <w:sz w:val="16"/>
                <w:szCs w:val="16"/>
              </w:rPr>
              <w:t xml:space="preserve">In-class use of </w:t>
            </w:r>
            <w:proofErr w:type="spellStart"/>
            <w:r w:rsidRPr="009B0696">
              <w:rPr>
                <w:sz w:val="16"/>
                <w:szCs w:val="16"/>
              </w:rPr>
              <w:t>iclicker</w:t>
            </w:r>
            <w:proofErr w:type="spellEnd"/>
            <w:r w:rsidRPr="009B0696">
              <w:rPr>
                <w:sz w:val="16"/>
                <w:szCs w:val="16"/>
              </w:rPr>
              <w:t xml:space="preserve"> or manual response system</w:t>
            </w:r>
          </w:p>
          <w:p w14:paraId="20487BD5" w14:textId="77777777" w:rsidR="004011FE" w:rsidRPr="009B0696" w:rsidRDefault="004011FE" w:rsidP="004011FE">
            <w:pPr>
              <w:pStyle w:val="ListParagraph"/>
              <w:numPr>
                <w:ilvl w:val="0"/>
                <w:numId w:val="15"/>
              </w:numPr>
              <w:rPr>
                <w:sz w:val="16"/>
                <w:szCs w:val="16"/>
              </w:rPr>
            </w:pPr>
            <w:r w:rsidRPr="009B0696">
              <w:rPr>
                <w:sz w:val="16"/>
                <w:szCs w:val="16"/>
              </w:rPr>
              <w:t>Student authored blogs or journals</w:t>
            </w:r>
          </w:p>
          <w:p w14:paraId="3AF61793" w14:textId="480D202D" w:rsidR="004011FE" w:rsidRPr="009B0696" w:rsidRDefault="004011FE" w:rsidP="004011FE">
            <w:pPr>
              <w:pStyle w:val="ListParagraph"/>
              <w:numPr>
                <w:ilvl w:val="0"/>
                <w:numId w:val="15"/>
              </w:numPr>
              <w:rPr>
                <w:sz w:val="16"/>
                <w:szCs w:val="16"/>
              </w:rPr>
            </w:pPr>
            <w:r w:rsidRPr="009B0696">
              <w:rPr>
                <w:sz w:val="16"/>
                <w:szCs w:val="16"/>
              </w:rPr>
              <w:t>Performance on short-answer quizzes</w:t>
            </w:r>
          </w:p>
          <w:p w14:paraId="3A9844C6" w14:textId="2CC5B3D3" w:rsidR="004011FE" w:rsidRPr="009B0696" w:rsidRDefault="004011FE" w:rsidP="004011FE">
            <w:pPr>
              <w:pStyle w:val="ListParagraph"/>
              <w:numPr>
                <w:ilvl w:val="0"/>
                <w:numId w:val="15"/>
              </w:numPr>
              <w:rPr>
                <w:sz w:val="16"/>
                <w:szCs w:val="16"/>
              </w:rPr>
            </w:pPr>
            <w:r w:rsidRPr="009B0696">
              <w:rPr>
                <w:sz w:val="16"/>
                <w:szCs w:val="16"/>
              </w:rPr>
              <w:t>Active learning strategies such as case studies, Socratic circles or TBL activities</w:t>
            </w:r>
          </w:p>
          <w:p w14:paraId="63E784A8" w14:textId="43D902BD" w:rsidR="004011FE" w:rsidRPr="009B0696" w:rsidRDefault="004011FE" w:rsidP="004011FE">
            <w:pPr>
              <w:rPr>
                <w:sz w:val="16"/>
                <w:szCs w:val="16"/>
              </w:rPr>
            </w:pPr>
            <w:r w:rsidRPr="009B0696">
              <w:rPr>
                <w:sz w:val="16"/>
                <w:szCs w:val="16"/>
              </w:rPr>
              <w:t>2. In-class examination. Question types can be multiple choice, short answer or essay to assess mastery of facts and interpretation</w:t>
            </w:r>
          </w:p>
          <w:p w14:paraId="3D4CF5F3" w14:textId="77777777" w:rsidR="004011FE" w:rsidRPr="009B0696" w:rsidRDefault="004011FE" w:rsidP="00351663">
            <w:pPr>
              <w:rPr>
                <w:sz w:val="16"/>
                <w:szCs w:val="16"/>
              </w:rPr>
            </w:pPr>
          </w:p>
          <w:p w14:paraId="7A03C96A" w14:textId="77777777" w:rsidR="00E06F48" w:rsidRPr="009B0696" w:rsidRDefault="00E06F48" w:rsidP="00351663">
            <w:pPr>
              <w:rPr>
                <w:sz w:val="16"/>
                <w:szCs w:val="16"/>
              </w:rPr>
            </w:pPr>
            <w:r w:rsidRPr="009B0696">
              <w:rPr>
                <w:sz w:val="16"/>
                <w:szCs w:val="16"/>
              </w:rPr>
              <w:t>Evaluation Process:</w:t>
            </w:r>
          </w:p>
          <w:p w14:paraId="7E52E53C" w14:textId="1344165D" w:rsidR="00E06F48" w:rsidRPr="009B0696" w:rsidRDefault="00670CCC" w:rsidP="00351663">
            <w:pPr>
              <w:rPr>
                <w:sz w:val="16"/>
                <w:szCs w:val="16"/>
              </w:rPr>
            </w:pPr>
            <w:r w:rsidRPr="009B0696">
              <w:rPr>
                <w:sz w:val="16"/>
                <w:szCs w:val="16"/>
              </w:rPr>
              <w:t>1.</w:t>
            </w:r>
            <w:r w:rsidR="00B01190" w:rsidRPr="009B0696">
              <w:rPr>
                <w:sz w:val="16"/>
                <w:szCs w:val="16"/>
              </w:rPr>
              <w:t xml:space="preserve"> </w:t>
            </w:r>
            <w:r w:rsidRPr="009B0696">
              <w:rPr>
                <w:sz w:val="16"/>
                <w:szCs w:val="16"/>
              </w:rPr>
              <w:t>C</w:t>
            </w:r>
            <w:r w:rsidR="00B01190" w:rsidRPr="009B0696">
              <w:rPr>
                <w:sz w:val="16"/>
                <w:szCs w:val="16"/>
              </w:rPr>
              <w:t xml:space="preserve">ompletion of </w:t>
            </w:r>
            <w:r w:rsidR="004011FE" w:rsidRPr="009B0696">
              <w:rPr>
                <w:sz w:val="16"/>
                <w:szCs w:val="16"/>
              </w:rPr>
              <w:t>selected formative assessments</w:t>
            </w:r>
            <w:r w:rsidR="009B0696" w:rsidRPr="009B0696">
              <w:rPr>
                <w:sz w:val="16"/>
                <w:szCs w:val="16"/>
              </w:rPr>
              <w:t xml:space="preserve"> and/or appropriate valid evaluation method, e.g. rubric, checklist, peer assessment, observation, number correct, etc.</w:t>
            </w:r>
          </w:p>
          <w:p w14:paraId="2DB9E51B" w14:textId="3D460B1E" w:rsidR="00C3497C" w:rsidRPr="009B0696" w:rsidRDefault="00670CCC" w:rsidP="00351663">
            <w:pPr>
              <w:rPr>
                <w:sz w:val="16"/>
                <w:szCs w:val="16"/>
              </w:rPr>
            </w:pPr>
            <w:r w:rsidRPr="009B0696">
              <w:rPr>
                <w:sz w:val="16"/>
                <w:szCs w:val="16"/>
              </w:rPr>
              <w:t xml:space="preserve">2. </w:t>
            </w:r>
            <w:r w:rsidR="00C3497C" w:rsidRPr="009B0696">
              <w:rPr>
                <w:sz w:val="16"/>
                <w:szCs w:val="16"/>
              </w:rPr>
              <w:t>In-class exams will be given on the designated dates and performance measured</w:t>
            </w:r>
            <w:r w:rsidR="0006427B" w:rsidRPr="009B0696">
              <w:rPr>
                <w:sz w:val="16"/>
                <w:szCs w:val="16"/>
              </w:rPr>
              <w:t xml:space="preserve"> for multiple choice questions by the number of correct answers. Short answer and essay questions </w:t>
            </w:r>
            <w:r w:rsidR="00656EA4" w:rsidRPr="009B0696">
              <w:rPr>
                <w:sz w:val="16"/>
                <w:szCs w:val="16"/>
              </w:rPr>
              <w:t>will be assessed using a grading rubric</w:t>
            </w:r>
            <w:r w:rsidR="00C3497C" w:rsidRPr="009B0696">
              <w:rPr>
                <w:sz w:val="16"/>
                <w:szCs w:val="16"/>
              </w:rPr>
              <w:t>.</w:t>
            </w:r>
          </w:p>
          <w:p w14:paraId="5E0AF4E2" w14:textId="77777777" w:rsidR="00E06F48" w:rsidRPr="009B0696" w:rsidRDefault="00E06F48" w:rsidP="00351663">
            <w:pPr>
              <w:rPr>
                <w:sz w:val="16"/>
                <w:szCs w:val="16"/>
              </w:rPr>
            </w:pPr>
          </w:p>
          <w:p w14:paraId="6561727E" w14:textId="77777777" w:rsidR="00E06F48" w:rsidRPr="009B0696" w:rsidRDefault="00E06F48" w:rsidP="00351663">
            <w:pPr>
              <w:rPr>
                <w:sz w:val="16"/>
                <w:szCs w:val="16"/>
              </w:rPr>
            </w:pPr>
            <w:r w:rsidRPr="009B0696">
              <w:rPr>
                <w:sz w:val="16"/>
                <w:szCs w:val="16"/>
              </w:rPr>
              <w:t>Minimum Criteria for Success:</w:t>
            </w:r>
          </w:p>
          <w:p w14:paraId="6672374B" w14:textId="77125421" w:rsidR="00E06F48" w:rsidRPr="009B0696" w:rsidRDefault="00670CCC" w:rsidP="00351663">
            <w:pPr>
              <w:rPr>
                <w:sz w:val="16"/>
                <w:szCs w:val="16"/>
              </w:rPr>
            </w:pPr>
            <w:r w:rsidRPr="009B0696">
              <w:rPr>
                <w:sz w:val="16"/>
                <w:szCs w:val="16"/>
              </w:rPr>
              <w:t xml:space="preserve">1. </w:t>
            </w:r>
            <w:r w:rsidR="00E21FB8" w:rsidRPr="009B0696">
              <w:rPr>
                <w:sz w:val="16"/>
                <w:szCs w:val="16"/>
              </w:rPr>
              <w:t xml:space="preserve">The course instructor will publish criteria for success for the selected assessments at the </w:t>
            </w:r>
            <w:r w:rsidR="008C391C" w:rsidRPr="009B0696">
              <w:rPr>
                <w:sz w:val="16"/>
                <w:szCs w:val="16"/>
              </w:rPr>
              <w:t>start of the semester and evaluate student success based on those criteria.</w:t>
            </w:r>
            <w:r w:rsidR="00E11DA2" w:rsidRPr="009B0696">
              <w:rPr>
                <w:sz w:val="16"/>
                <w:szCs w:val="16"/>
              </w:rPr>
              <w:t xml:space="preserve"> Students will achieve an average grade of at least 70%.</w:t>
            </w:r>
          </w:p>
          <w:p w14:paraId="18BA3C83" w14:textId="1ACB783B" w:rsidR="00C3497C" w:rsidRPr="009B0696" w:rsidRDefault="00670CCC" w:rsidP="00351663">
            <w:pPr>
              <w:rPr>
                <w:color w:val="0070C0"/>
                <w:sz w:val="16"/>
                <w:szCs w:val="16"/>
              </w:rPr>
            </w:pPr>
            <w:r w:rsidRPr="009B0696">
              <w:rPr>
                <w:sz w:val="16"/>
                <w:szCs w:val="16"/>
              </w:rPr>
              <w:t xml:space="preserve">2. </w:t>
            </w:r>
            <w:r w:rsidR="00C3497C" w:rsidRPr="009B0696">
              <w:rPr>
                <w:sz w:val="16"/>
                <w:szCs w:val="16"/>
              </w:rPr>
              <w:t>Students will achieve an average grade of at least 70% on the course exams.</w:t>
            </w:r>
          </w:p>
          <w:p w14:paraId="34A3C146" w14:textId="77777777" w:rsidR="00E06F48" w:rsidRPr="009B0696" w:rsidRDefault="00E06F48" w:rsidP="00351663">
            <w:pPr>
              <w:rPr>
                <w:i/>
                <w:color w:val="0070C0"/>
                <w:sz w:val="16"/>
                <w:szCs w:val="16"/>
              </w:rPr>
            </w:pPr>
          </w:p>
          <w:p w14:paraId="093A6908" w14:textId="77777777" w:rsidR="00E06F48" w:rsidRPr="009B0696" w:rsidRDefault="00E06F48" w:rsidP="00351663">
            <w:pPr>
              <w:rPr>
                <w:sz w:val="16"/>
                <w:szCs w:val="16"/>
              </w:rPr>
            </w:pPr>
            <w:r w:rsidRPr="009B0696">
              <w:rPr>
                <w:sz w:val="16"/>
                <w:szCs w:val="16"/>
              </w:rPr>
              <w:t>Sample:</w:t>
            </w:r>
          </w:p>
          <w:p w14:paraId="6A0B519D" w14:textId="77777777" w:rsidR="00E06F48" w:rsidRPr="009B0696" w:rsidRDefault="00AA1DEA" w:rsidP="00351663">
            <w:pPr>
              <w:rPr>
                <w:sz w:val="16"/>
                <w:szCs w:val="16"/>
              </w:rPr>
            </w:pPr>
            <w:r w:rsidRPr="009B0696">
              <w:rPr>
                <w:sz w:val="16"/>
                <w:szCs w:val="16"/>
              </w:rPr>
              <w:t>All students will be assessed.</w:t>
            </w:r>
          </w:p>
          <w:p w14:paraId="514F6A88" w14:textId="14C4E175" w:rsidR="00E11DA2" w:rsidRPr="00A80501" w:rsidRDefault="00E11DA2" w:rsidP="00351663">
            <w:pPr>
              <w:rPr>
                <w:i/>
                <w:color w:val="0070C0"/>
                <w:sz w:val="22"/>
              </w:rPr>
            </w:pPr>
          </w:p>
        </w:tc>
        <w:tc>
          <w:tcPr>
            <w:tcW w:w="3420" w:type="dxa"/>
            <w:vMerge w:val="restart"/>
          </w:tcPr>
          <w:p w14:paraId="3619E5EF" w14:textId="77777777" w:rsidR="00BB7747" w:rsidRPr="00BB7747" w:rsidRDefault="00BB7747" w:rsidP="00BB7747">
            <w:pPr>
              <w:rPr>
                <w:i/>
                <w:color w:val="4F81BD" w:themeColor="accent1"/>
                <w:sz w:val="20"/>
              </w:rPr>
            </w:pPr>
            <w:r w:rsidRPr="00BB7747">
              <w:rPr>
                <w:i/>
                <w:color w:val="4F81BD" w:themeColor="accent1"/>
                <w:sz w:val="20"/>
              </w:rPr>
              <w:t>To be entered after each time course is taught</w:t>
            </w:r>
          </w:p>
          <w:p w14:paraId="66F948B5" w14:textId="77777777" w:rsidR="00333D0E" w:rsidRPr="00333D0E" w:rsidRDefault="00333D0E" w:rsidP="00351663">
            <w:pPr>
              <w:rPr>
                <w:sz w:val="20"/>
                <w:szCs w:val="20"/>
              </w:rPr>
            </w:pPr>
          </w:p>
          <w:p w14:paraId="75D710EA" w14:textId="77777777" w:rsidR="00E06F48" w:rsidRPr="00333D0E" w:rsidRDefault="00E06F48" w:rsidP="00351663">
            <w:pPr>
              <w:rPr>
                <w:sz w:val="20"/>
                <w:szCs w:val="20"/>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bookmarkStart w:id="0" w:name="_GoBack"/>
            <w:bookmarkEnd w:id="0"/>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rsidTr="00A43A2D">
        <w:trPr>
          <w:trHeight w:val="260"/>
        </w:trPr>
        <w:tc>
          <w:tcPr>
            <w:tcW w:w="4145" w:type="dxa"/>
          </w:tcPr>
          <w:p w14:paraId="268FDF94" w14:textId="0DF340E4" w:rsidR="00E06F48" w:rsidRPr="003D281E" w:rsidRDefault="00E06F48" w:rsidP="00351663">
            <w:pPr>
              <w:rPr>
                <w:b/>
                <w:sz w:val="20"/>
              </w:rPr>
            </w:pPr>
            <w:r>
              <w:rPr>
                <w:b/>
                <w:sz w:val="20"/>
              </w:rPr>
              <w:t>Course Learning Outcome</w:t>
            </w:r>
          </w:p>
        </w:tc>
        <w:tc>
          <w:tcPr>
            <w:tcW w:w="5755" w:type="dxa"/>
            <w:vMerge/>
          </w:tcPr>
          <w:p w14:paraId="7880F95E" w14:textId="77777777" w:rsidR="00E06F48" w:rsidRPr="003D281E" w:rsidRDefault="00E06F48" w:rsidP="00351663">
            <w:pPr>
              <w:rPr>
                <w:sz w:val="22"/>
              </w:rPr>
            </w:pPr>
          </w:p>
        </w:tc>
        <w:tc>
          <w:tcPr>
            <w:tcW w:w="3420" w:type="dxa"/>
            <w:vMerge/>
          </w:tcPr>
          <w:p w14:paraId="06EB8BBB" w14:textId="77777777" w:rsidR="00E06F48" w:rsidRPr="003D281E" w:rsidRDefault="00E06F48" w:rsidP="00351663">
            <w:pPr>
              <w:rPr>
                <w:sz w:val="22"/>
              </w:rPr>
            </w:pPr>
          </w:p>
        </w:tc>
      </w:tr>
      <w:tr w:rsidR="00E06F48" w:rsidRPr="00F632F6" w14:paraId="3AED5DDC" w14:textId="77777777" w:rsidTr="009B0696">
        <w:trPr>
          <w:trHeight w:val="4175"/>
        </w:trPr>
        <w:tc>
          <w:tcPr>
            <w:tcW w:w="4145" w:type="dxa"/>
          </w:tcPr>
          <w:p w14:paraId="0C2C79FF" w14:textId="1B54469D" w:rsidR="00E06F48" w:rsidRPr="00B77454" w:rsidRDefault="00B77454" w:rsidP="0006427B">
            <w:pPr>
              <w:rPr>
                <w:color w:val="0070C0"/>
                <w:sz w:val="20"/>
              </w:rPr>
            </w:pPr>
            <w:r w:rsidRPr="00B77454">
              <w:rPr>
                <w:sz w:val="20"/>
              </w:rPr>
              <w:t>Students will be able to demonstrate</w:t>
            </w:r>
            <w:r>
              <w:rPr>
                <w:sz w:val="20"/>
              </w:rPr>
              <w:t xml:space="preserve"> an understanding of the scientific information and key concepts that underlie the functioning of natural systems with an emphasis on the interrelatedness of these systems with each other and human societies</w:t>
            </w:r>
            <w:r w:rsidR="0006427B">
              <w:rPr>
                <w:sz w:val="20"/>
              </w:rPr>
              <w:t>.</w:t>
            </w:r>
            <w:r>
              <w:rPr>
                <w:sz w:val="20"/>
              </w:rPr>
              <w:t xml:space="preserve"> </w:t>
            </w:r>
          </w:p>
        </w:tc>
        <w:tc>
          <w:tcPr>
            <w:tcW w:w="5755" w:type="dxa"/>
            <w:vMerge/>
          </w:tcPr>
          <w:p w14:paraId="2150D560" w14:textId="77777777" w:rsidR="00E06F48" w:rsidRPr="003D281E" w:rsidRDefault="00E06F48" w:rsidP="00351663">
            <w:pPr>
              <w:rPr>
                <w:sz w:val="22"/>
              </w:rPr>
            </w:pPr>
          </w:p>
        </w:tc>
        <w:tc>
          <w:tcPr>
            <w:tcW w:w="3420" w:type="dxa"/>
            <w:vMerge/>
          </w:tcPr>
          <w:p w14:paraId="35167E05" w14:textId="77777777" w:rsidR="00E06F48" w:rsidRPr="003D281E" w:rsidRDefault="00E06F48" w:rsidP="00351663">
            <w:pPr>
              <w:rPr>
                <w:sz w:val="22"/>
              </w:rPr>
            </w:pPr>
          </w:p>
        </w:tc>
      </w:tr>
      <w:tr w:rsidR="00E06F48" w:rsidRPr="00F632F6" w14:paraId="2991C268" w14:textId="77777777" w:rsidTr="00A43A2D">
        <w:trPr>
          <w:trHeight w:val="260"/>
        </w:trPr>
        <w:tc>
          <w:tcPr>
            <w:tcW w:w="13320"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rsidTr="00A43A2D">
        <w:trPr>
          <w:trHeight w:val="1664"/>
        </w:trPr>
        <w:tc>
          <w:tcPr>
            <w:tcW w:w="13320" w:type="dxa"/>
            <w:gridSpan w:val="3"/>
          </w:tcPr>
          <w:p w14:paraId="46FB69E2" w14:textId="77777777" w:rsidR="00BB7747" w:rsidRPr="00BB7747" w:rsidRDefault="00BB7747" w:rsidP="00BB7747">
            <w:pPr>
              <w:rPr>
                <w:i/>
                <w:color w:val="4F81BD" w:themeColor="accent1"/>
                <w:sz w:val="20"/>
              </w:rPr>
            </w:pPr>
            <w:r w:rsidRPr="00BB7747">
              <w:rPr>
                <w:i/>
                <w:color w:val="4F81BD" w:themeColor="accent1"/>
                <w:sz w:val="20"/>
              </w:rPr>
              <w:t>To be entered after each time course is taught</w:t>
            </w:r>
          </w:p>
          <w:p w14:paraId="57DBD504" w14:textId="5075CDCF" w:rsidR="003D2FAD" w:rsidRPr="009510DF" w:rsidRDefault="003D2FAD" w:rsidP="00B95595">
            <w:pPr>
              <w:rPr>
                <w:color w:val="0070C0"/>
                <w:sz w:val="20"/>
              </w:rPr>
            </w:pPr>
          </w:p>
        </w:tc>
      </w:tr>
    </w:tbl>
    <w:p w14:paraId="530FDBF2" w14:textId="77777777" w:rsidR="00E06F48" w:rsidRDefault="00E06F48" w:rsidP="00351663">
      <w:pPr>
        <w:rPr>
          <w:rFonts w:ascii="Times New Roman" w:hAnsi="Times New Roman"/>
          <w:b/>
        </w:rPr>
      </w:pPr>
    </w:p>
    <w:tbl>
      <w:tblPr>
        <w:tblW w:w="135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6115"/>
        <w:gridCol w:w="3330"/>
      </w:tblGrid>
      <w:tr w:rsidR="00E06F48" w:rsidRPr="00F632F6" w14:paraId="10BBA699" w14:textId="77777777" w:rsidTr="00A43A2D">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6115"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3330"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A43A2D">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6115" w:type="dxa"/>
            <w:vMerge w:val="restart"/>
          </w:tcPr>
          <w:p w14:paraId="4E8B5A15" w14:textId="77777777" w:rsidR="00E06F48" w:rsidRPr="00905CCE" w:rsidRDefault="00E06F48" w:rsidP="00351663">
            <w:pPr>
              <w:rPr>
                <w:sz w:val="20"/>
              </w:rPr>
            </w:pPr>
            <w:r w:rsidRPr="00905CCE">
              <w:rPr>
                <w:sz w:val="20"/>
              </w:rPr>
              <w:t>Assessment Activity/Artifact:</w:t>
            </w:r>
          </w:p>
          <w:p w14:paraId="530BB48A" w14:textId="5F15A209" w:rsidR="00E06F48" w:rsidRDefault="00B01190" w:rsidP="00351663">
            <w:pPr>
              <w:rPr>
                <w:sz w:val="20"/>
              </w:rPr>
            </w:pPr>
            <w:r>
              <w:rPr>
                <w:sz w:val="20"/>
              </w:rPr>
              <w:t>Student</w:t>
            </w:r>
            <w:r w:rsidR="008C391C">
              <w:rPr>
                <w:sz w:val="20"/>
              </w:rPr>
              <w:t>s as individuals or</w:t>
            </w:r>
            <w:r>
              <w:rPr>
                <w:sz w:val="20"/>
              </w:rPr>
              <w:t xml:space="preserve"> teams will participate in </w:t>
            </w:r>
            <w:r w:rsidR="008C391C">
              <w:rPr>
                <w:sz w:val="20"/>
              </w:rPr>
              <w:t>class discussion/debate/publication of wiki or blog on environmental topics</w:t>
            </w:r>
            <w:r>
              <w:rPr>
                <w:sz w:val="20"/>
              </w:rPr>
              <w:t xml:space="preserve"> where </w:t>
            </w:r>
            <w:r w:rsidR="008C391C">
              <w:rPr>
                <w:sz w:val="20"/>
              </w:rPr>
              <w:t xml:space="preserve">students discuss and analyze problems/situations from </w:t>
            </w:r>
            <w:r>
              <w:rPr>
                <w:sz w:val="20"/>
              </w:rPr>
              <w:t>perspective</w:t>
            </w:r>
            <w:r w:rsidR="008C391C">
              <w:rPr>
                <w:sz w:val="20"/>
              </w:rPr>
              <w:t>s of</w:t>
            </w:r>
            <w:r>
              <w:rPr>
                <w:sz w:val="20"/>
              </w:rPr>
              <w:t xml:space="preserve"> different stakeholder</w:t>
            </w:r>
            <w:r w:rsidR="008C391C">
              <w:rPr>
                <w:sz w:val="20"/>
              </w:rPr>
              <w:t>s</w:t>
            </w:r>
            <w:r>
              <w:rPr>
                <w:sz w:val="20"/>
              </w:rPr>
              <w:t>.</w:t>
            </w:r>
            <w:r w:rsidR="008C391C">
              <w:rPr>
                <w:sz w:val="20"/>
              </w:rPr>
              <w:t xml:space="preserve"> Participation may include both oral presentations and written assignments.</w:t>
            </w:r>
          </w:p>
          <w:p w14:paraId="246DC7AD" w14:textId="012AC1EA" w:rsidR="0087295D" w:rsidRPr="00B01190" w:rsidRDefault="00FB04D7" w:rsidP="00351663">
            <w:pPr>
              <w:rPr>
                <w:sz w:val="20"/>
              </w:rPr>
            </w:pPr>
            <w:r>
              <w:rPr>
                <w:sz w:val="20"/>
              </w:rPr>
              <w:t xml:space="preserve"> </w:t>
            </w:r>
          </w:p>
          <w:p w14:paraId="10449FBC" w14:textId="77777777" w:rsidR="00E06F48" w:rsidRPr="00905CCE" w:rsidRDefault="00E06F48" w:rsidP="00351663">
            <w:pPr>
              <w:rPr>
                <w:sz w:val="20"/>
              </w:rPr>
            </w:pPr>
            <w:r w:rsidRPr="00905CCE">
              <w:rPr>
                <w:sz w:val="20"/>
              </w:rPr>
              <w:t>Evaluation Process:</w:t>
            </w:r>
          </w:p>
          <w:p w14:paraId="1A9DB4E3" w14:textId="45EDB6C5" w:rsidR="00E06F48" w:rsidRDefault="00E11DA2" w:rsidP="00351663">
            <w:pPr>
              <w:rPr>
                <w:sz w:val="20"/>
              </w:rPr>
            </w:pPr>
            <w:r>
              <w:rPr>
                <w:sz w:val="20"/>
              </w:rPr>
              <w:t>Written and/or oral assignments will be evaluated using rubrics provided by course instructor at beginning of semester.</w:t>
            </w:r>
          </w:p>
          <w:p w14:paraId="34C1E0BE" w14:textId="77777777" w:rsidR="00E11DA2" w:rsidRPr="00A43A2D" w:rsidRDefault="00E11DA2" w:rsidP="00351663">
            <w:pPr>
              <w:rPr>
                <w:sz w:val="16"/>
                <w:szCs w:val="16"/>
              </w:rPr>
            </w:pPr>
          </w:p>
          <w:p w14:paraId="2DE590D4" w14:textId="77777777" w:rsidR="00E06F48" w:rsidRPr="00905CCE" w:rsidRDefault="00E06F48" w:rsidP="00351663">
            <w:pPr>
              <w:rPr>
                <w:sz w:val="20"/>
              </w:rPr>
            </w:pPr>
            <w:r w:rsidRPr="00905CCE">
              <w:rPr>
                <w:sz w:val="20"/>
              </w:rPr>
              <w:t>Minimum Criteria for Success:</w:t>
            </w:r>
          </w:p>
          <w:p w14:paraId="1F9CE4FD" w14:textId="13ED293B" w:rsidR="00E06F48" w:rsidRPr="00E11DA2" w:rsidRDefault="00E11DA2" w:rsidP="00351663">
            <w:pPr>
              <w:rPr>
                <w:sz w:val="16"/>
                <w:szCs w:val="16"/>
              </w:rPr>
            </w:pPr>
            <w:r>
              <w:rPr>
                <w:sz w:val="20"/>
              </w:rPr>
              <w:t>The course instructor will publish criteria for success for the selected assessments at the start of the semester and evaluate student success based on those criteria. Students will achieve an average grade of at least 70%.</w:t>
            </w:r>
          </w:p>
          <w:p w14:paraId="4B8BD699" w14:textId="77777777" w:rsidR="00E11DA2" w:rsidRDefault="00E11DA2" w:rsidP="00351663">
            <w:pPr>
              <w:rPr>
                <w:sz w:val="20"/>
              </w:rPr>
            </w:pPr>
          </w:p>
          <w:p w14:paraId="61098E28" w14:textId="77777777" w:rsidR="00E06F48" w:rsidRDefault="00E06F48" w:rsidP="00351663">
            <w:pPr>
              <w:rPr>
                <w:sz w:val="20"/>
              </w:rPr>
            </w:pPr>
            <w:r>
              <w:rPr>
                <w:sz w:val="20"/>
              </w:rPr>
              <w:t>Sample:</w:t>
            </w:r>
          </w:p>
          <w:p w14:paraId="0C537D1A" w14:textId="77777777" w:rsidR="00E06F48" w:rsidRDefault="001268E2" w:rsidP="00351663">
            <w:pPr>
              <w:rPr>
                <w:sz w:val="20"/>
                <w:szCs w:val="20"/>
              </w:rPr>
            </w:pPr>
            <w:r w:rsidRPr="001268E2">
              <w:rPr>
                <w:sz w:val="20"/>
                <w:szCs w:val="20"/>
              </w:rPr>
              <w:t>All students will be assessed.</w:t>
            </w:r>
          </w:p>
          <w:p w14:paraId="79F2F88D" w14:textId="77777777" w:rsidR="00E11DA2" w:rsidRDefault="00E11DA2" w:rsidP="00351663">
            <w:pPr>
              <w:rPr>
                <w:sz w:val="20"/>
                <w:szCs w:val="20"/>
              </w:rPr>
            </w:pPr>
          </w:p>
          <w:p w14:paraId="79363C92" w14:textId="77777777" w:rsidR="00E11DA2" w:rsidRDefault="00E11DA2" w:rsidP="00351663">
            <w:pPr>
              <w:rPr>
                <w:sz w:val="20"/>
                <w:szCs w:val="20"/>
              </w:rPr>
            </w:pPr>
          </w:p>
          <w:p w14:paraId="30BE96EA" w14:textId="77777777" w:rsidR="00E11DA2" w:rsidRDefault="00E11DA2" w:rsidP="00351663">
            <w:pPr>
              <w:rPr>
                <w:sz w:val="20"/>
                <w:szCs w:val="20"/>
              </w:rPr>
            </w:pPr>
          </w:p>
          <w:p w14:paraId="1AB05BD0" w14:textId="77777777" w:rsidR="00E11DA2" w:rsidRDefault="00E11DA2" w:rsidP="00351663">
            <w:pPr>
              <w:rPr>
                <w:sz w:val="20"/>
                <w:szCs w:val="20"/>
              </w:rPr>
            </w:pPr>
          </w:p>
          <w:p w14:paraId="27031866" w14:textId="274656A7" w:rsidR="00E11DA2" w:rsidRPr="00A80501" w:rsidRDefault="00E11DA2" w:rsidP="00351663">
            <w:pPr>
              <w:rPr>
                <w:i/>
                <w:color w:val="0070C0"/>
                <w:sz w:val="22"/>
              </w:rPr>
            </w:pPr>
          </w:p>
        </w:tc>
        <w:tc>
          <w:tcPr>
            <w:tcW w:w="3330" w:type="dxa"/>
            <w:vMerge w:val="restart"/>
          </w:tcPr>
          <w:p w14:paraId="79AEEE5D" w14:textId="77777777" w:rsidR="00BB7747" w:rsidRPr="00BB7747" w:rsidRDefault="00BB7747" w:rsidP="00BB7747">
            <w:pPr>
              <w:rPr>
                <w:i/>
                <w:color w:val="4F81BD" w:themeColor="accent1"/>
                <w:sz w:val="20"/>
              </w:rPr>
            </w:pPr>
            <w:r w:rsidRPr="00BB7747">
              <w:rPr>
                <w:i/>
                <w:color w:val="4F81BD" w:themeColor="accent1"/>
                <w:sz w:val="20"/>
              </w:rPr>
              <w:t>To be entered after each time course is taught</w:t>
            </w:r>
          </w:p>
          <w:p w14:paraId="083D9802" w14:textId="77777777" w:rsidR="00E06F48" w:rsidRPr="00283D66" w:rsidRDefault="00E06F48" w:rsidP="00351663">
            <w:pPr>
              <w:rPr>
                <w:sz w:val="20"/>
                <w:szCs w:val="20"/>
              </w:rPr>
            </w:pPr>
          </w:p>
          <w:p w14:paraId="0B9D7559" w14:textId="77777777" w:rsidR="00E06F48" w:rsidRPr="00283D66" w:rsidRDefault="00E06F48" w:rsidP="00351663">
            <w:pPr>
              <w:rPr>
                <w:sz w:val="20"/>
                <w:szCs w:val="20"/>
              </w:rPr>
            </w:pPr>
          </w:p>
        </w:tc>
      </w:tr>
      <w:tr w:rsidR="00E06F48" w:rsidRPr="00F632F6" w14:paraId="56E5860A" w14:textId="77777777" w:rsidTr="00A43A2D">
        <w:trPr>
          <w:trHeight w:val="260"/>
        </w:trPr>
        <w:tc>
          <w:tcPr>
            <w:tcW w:w="4145" w:type="dxa"/>
          </w:tcPr>
          <w:p w14:paraId="7A7A530C" w14:textId="0CD797F8" w:rsidR="00E06F48" w:rsidRPr="003D281E" w:rsidRDefault="00E06F48" w:rsidP="00351663">
            <w:pPr>
              <w:rPr>
                <w:b/>
                <w:sz w:val="20"/>
              </w:rPr>
            </w:pPr>
            <w:r>
              <w:rPr>
                <w:b/>
                <w:sz w:val="20"/>
              </w:rPr>
              <w:t>Course Learning Outcome</w:t>
            </w:r>
          </w:p>
        </w:tc>
        <w:tc>
          <w:tcPr>
            <w:tcW w:w="6115" w:type="dxa"/>
            <w:vMerge/>
          </w:tcPr>
          <w:p w14:paraId="41D0F97B" w14:textId="77777777" w:rsidR="00E06F48" w:rsidRPr="003D281E" w:rsidRDefault="00E06F48" w:rsidP="00351663">
            <w:pPr>
              <w:rPr>
                <w:sz w:val="22"/>
              </w:rPr>
            </w:pPr>
          </w:p>
        </w:tc>
        <w:tc>
          <w:tcPr>
            <w:tcW w:w="3330" w:type="dxa"/>
            <w:vMerge/>
          </w:tcPr>
          <w:p w14:paraId="08FFC2EC" w14:textId="77777777" w:rsidR="00E06F48" w:rsidRPr="003D281E" w:rsidRDefault="00E06F48" w:rsidP="00351663">
            <w:pPr>
              <w:rPr>
                <w:sz w:val="22"/>
              </w:rPr>
            </w:pPr>
          </w:p>
        </w:tc>
      </w:tr>
      <w:tr w:rsidR="00E06F48" w:rsidRPr="00F632F6" w14:paraId="3523A353" w14:textId="77777777" w:rsidTr="00A43A2D">
        <w:trPr>
          <w:trHeight w:val="2393"/>
        </w:trPr>
        <w:tc>
          <w:tcPr>
            <w:tcW w:w="4145" w:type="dxa"/>
          </w:tcPr>
          <w:p w14:paraId="3E541137" w14:textId="5EB7462A" w:rsidR="00E06F48" w:rsidRPr="00B01190" w:rsidRDefault="00B01190" w:rsidP="00351663">
            <w:pPr>
              <w:rPr>
                <w:color w:val="0070C0"/>
                <w:sz w:val="20"/>
              </w:rPr>
            </w:pPr>
            <w:r w:rsidRPr="00B01190">
              <w:rPr>
                <w:sz w:val="20"/>
              </w:rPr>
              <w:t>Students will be able to examine environmental issues within a trans-disciplinary and multi-perspective framework that supports creative ideas to promote environmental sustainability.</w:t>
            </w:r>
          </w:p>
        </w:tc>
        <w:tc>
          <w:tcPr>
            <w:tcW w:w="6115" w:type="dxa"/>
            <w:vMerge/>
          </w:tcPr>
          <w:p w14:paraId="3A252DD1" w14:textId="77777777" w:rsidR="00E06F48" w:rsidRPr="003D281E" w:rsidRDefault="00E06F48" w:rsidP="00351663">
            <w:pPr>
              <w:rPr>
                <w:sz w:val="22"/>
              </w:rPr>
            </w:pPr>
          </w:p>
        </w:tc>
        <w:tc>
          <w:tcPr>
            <w:tcW w:w="3330" w:type="dxa"/>
            <w:vMerge/>
          </w:tcPr>
          <w:p w14:paraId="3F5B85AA" w14:textId="77777777" w:rsidR="00E06F48" w:rsidRPr="003D281E" w:rsidRDefault="00E06F48" w:rsidP="00351663">
            <w:pPr>
              <w:rPr>
                <w:sz w:val="22"/>
              </w:rPr>
            </w:pPr>
          </w:p>
        </w:tc>
      </w:tr>
      <w:tr w:rsidR="00E06F48" w:rsidRPr="00F632F6" w14:paraId="57CFB5DC" w14:textId="77777777" w:rsidTr="00A43A2D">
        <w:trPr>
          <w:trHeight w:val="260"/>
        </w:trPr>
        <w:tc>
          <w:tcPr>
            <w:tcW w:w="13590"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rsidTr="00A43A2D">
        <w:trPr>
          <w:trHeight w:val="1664"/>
        </w:trPr>
        <w:tc>
          <w:tcPr>
            <w:tcW w:w="13590" w:type="dxa"/>
            <w:gridSpan w:val="3"/>
          </w:tcPr>
          <w:p w14:paraId="69DDB67E" w14:textId="77777777" w:rsidR="00BB7747" w:rsidRPr="00BB7747" w:rsidRDefault="00BB7747" w:rsidP="00BB7747">
            <w:pPr>
              <w:rPr>
                <w:i/>
                <w:color w:val="4F81BD" w:themeColor="accent1"/>
                <w:sz w:val="20"/>
              </w:rPr>
            </w:pPr>
            <w:r w:rsidRPr="00BB7747">
              <w:rPr>
                <w:i/>
                <w:color w:val="4F81BD" w:themeColor="accent1"/>
                <w:sz w:val="20"/>
              </w:rPr>
              <w:t>To be entered after each time course is taught</w:t>
            </w:r>
          </w:p>
          <w:p w14:paraId="5680A724" w14:textId="526556C3" w:rsidR="00E06F48" w:rsidRPr="00DC746E" w:rsidRDefault="00E06F48" w:rsidP="00351663">
            <w:pPr>
              <w:rPr>
                <w:color w:val="0070C0"/>
                <w:sz w:val="20"/>
              </w:rPr>
            </w:pPr>
          </w:p>
        </w:tc>
      </w:tr>
    </w:tbl>
    <w:p w14:paraId="1526A890" w14:textId="14BE6B82" w:rsidR="00DC746E" w:rsidRDefault="00DC746E">
      <w:pPr>
        <w:rPr>
          <w:rFonts w:ascii="Times New Roman" w:hAnsi="Times New Roman"/>
          <w:b/>
        </w:rPr>
      </w:pPr>
    </w:p>
    <w:p w14:paraId="12C9E3D4" w14:textId="77777777" w:rsidR="00E06F48" w:rsidRDefault="00E06F48" w:rsidP="00351663">
      <w:pPr>
        <w:rPr>
          <w:rFonts w:ascii="Times New Roman" w:hAnsi="Times New Roman"/>
          <w:b/>
        </w:rPr>
      </w:pPr>
    </w:p>
    <w:tbl>
      <w:tblPr>
        <w:tblW w:w="136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935"/>
        <w:gridCol w:w="3600"/>
      </w:tblGrid>
      <w:tr w:rsidR="00E06F48" w:rsidRPr="00F632F6" w14:paraId="7CEE1F7C" w14:textId="77777777" w:rsidTr="00A43A2D">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5935"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3600"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rsidTr="00A43A2D">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5935" w:type="dxa"/>
            <w:vMerge w:val="restart"/>
          </w:tcPr>
          <w:p w14:paraId="590F22B9" w14:textId="77777777" w:rsidR="00E06F48" w:rsidRPr="00905CCE" w:rsidRDefault="00E06F48" w:rsidP="00351663">
            <w:pPr>
              <w:rPr>
                <w:sz w:val="20"/>
              </w:rPr>
            </w:pPr>
            <w:r w:rsidRPr="00905CCE">
              <w:rPr>
                <w:sz w:val="20"/>
              </w:rPr>
              <w:t>Assessment Activity/Artifact:</w:t>
            </w:r>
          </w:p>
          <w:p w14:paraId="34B3E5EE" w14:textId="7FBBDCDB" w:rsidR="00E06F48" w:rsidRPr="004F5828" w:rsidRDefault="00670CCC" w:rsidP="00351663">
            <w:pPr>
              <w:rPr>
                <w:sz w:val="20"/>
              </w:rPr>
            </w:pPr>
            <w:r>
              <w:rPr>
                <w:sz w:val="20"/>
              </w:rPr>
              <w:t xml:space="preserve">1. </w:t>
            </w:r>
            <w:r w:rsidR="004F5828" w:rsidRPr="004F5828">
              <w:rPr>
                <w:sz w:val="20"/>
              </w:rPr>
              <w:t>Students will calculate and reflect on their personal ecological footprint</w:t>
            </w:r>
            <w:r w:rsidR="007D033E">
              <w:rPr>
                <w:sz w:val="20"/>
              </w:rPr>
              <w:t xml:space="preserve"> using an on-line footprint calculator</w:t>
            </w:r>
            <w:r w:rsidR="004F5828" w:rsidRPr="004F5828">
              <w:rPr>
                <w:sz w:val="20"/>
              </w:rPr>
              <w:t>.</w:t>
            </w:r>
          </w:p>
          <w:p w14:paraId="7488A350" w14:textId="5793D984" w:rsidR="00E06F48" w:rsidRPr="004F5828" w:rsidRDefault="00670CCC" w:rsidP="00351663">
            <w:pPr>
              <w:rPr>
                <w:sz w:val="20"/>
              </w:rPr>
            </w:pPr>
            <w:r>
              <w:rPr>
                <w:sz w:val="20"/>
              </w:rPr>
              <w:t xml:space="preserve">2. </w:t>
            </w:r>
            <w:r w:rsidR="00153D2E">
              <w:rPr>
                <w:sz w:val="20"/>
              </w:rPr>
              <w:t>Students will participate in two</w:t>
            </w:r>
            <w:r w:rsidR="004F5828">
              <w:rPr>
                <w:sz w:val="20"/>
              </w:rPr>
              <w:t xml:space="preserve"> environmentally related </w:t>
            </w:r>
            <w:r w:rsidR="00153D2E">
              <w:rPr>
                <w:sz w:val="20"/>
              </w:rPr>
              <w:t>co-curricular activities (one activity during 6 week summer session)</w:t>
            </w:r>
            <w:r w:rsidR="004F5828">
              <w:rPr>
                <w:sz w:val="20"/>
              </w:rPr>
              <w:t>.</w:t>
            </w:r>
          </w:p>
          <w:p w14:paraId="5D6E7D2E" w14:textId="77777777" w:rsidR="00E06F48" w:rsidRPr="00905CCE" w:rsidRDefault="00E06F48" w:rsidP="00351663">
            <w:pPr>
              <w:rPr>
                <w:sz w:val="20"/>
              </w:rPr>
            </w:pPr>
          </w:p>
          <w:p w14:paraId="72C538C8" w14:textId="77777777" w:rsidR="00E06F48" w:rsidRPr="00905CCE" w:rsidRDefault="00E06F48" w:rsidP="00351663">
            <w:pPr>
              <w:rPr>
                <w:sz w:val="20"/>
              </w:rPr>
            </w:pPr>
            <w:r w:rsidRPr="00905CCE">
              <w:rPr>
                <w:sz w:val="20"/>
              </w:rPr>
              <w:t>Evaluation Process:</w:t>
            </w:r>
          </w:p>
          <w:p w14:paraId="01850496" w14:textId="094D37DC" w:rsidR="00670CCC" w:rsidRDefault="00670CCC" w:rsidP="00351663">
            <w:pPr>
              <w:rPr>
                <w:sz w:val="20"/>
              </w:rPr>
            </w:pPr>
            <w:r>
              <w:rPr>
                <w:sz w:val="20"/>
              </w:rPr>
              <w:t xml:space="preserve">1. </w:t>
            </w:r>
            <w:r w:rsidR="00F51FFE">
              <w:rPr>
                <w:sz w:val="20"/>
              </w:rPr>
              <w:t>S</w:t>
            </w:r>
            <w:r w:rsidR="005D3621">
              <w:rPr>
                <w:sz w:val="20"/>
              </w:rPr>
              <w:t xml:space="preserve">tudent completion of </w:t>
            </w:r>
            <w:r w:rsidR="00F51FFE">
              <w:rPr>
                <w:sz w:val="20"/>
              </w:rPr>
              <w:t xml:space="preserve">the calculation of the ecological footprint and </w:t>
            </w:r>
            <w:r w:rsidR="005D3621">
              <w:rPr>
                <w:sz w:val="20"/>
              </w:rPr>
              <w:t xml:space="preserve">reflection postings in </w:t>
            </w:r>
            <w:r w:rsidR="007008E9">
              <w:rPr>
                <w:sz w:val="20"/>
              </w:rPr>
              <w:t>a discussion forum</w:t>
            </w:r>
            <w:r w:rsidR="00B46165">
              <w:rPr>
                <w:sz w:val="20"/>
              </w:rPr>
              <w:t xml:space="preserve"> will be assessed using a </w:t>
            </w:r>
            <w:r w:rsidR="00605FB3">
              <w:rPr>
                <w:sz w:val="20"/>
              </w:rPr>
              <w:t xml:space="preserve">reflection evaluation </w:t>
            </w:r>
            <w:r w:rsidR="00B46165">
              <w:rPr>
                <w:sz w:val="20"/>
              </w:rPr>
              <w:t>rubric that measures the level of engagement with the activity.</w:t>
            </w:r>
          </w:p>
          <w:p w14:paraId="13204027" w14:textId="34EF5212" w:rsidR="00E06F48" w:rsidRPr="00905CCE" w:rsidRDefault="00670CCC" w:rsidP="00351663">
            <w:pPr>
              <w:rPr>
                <w:sz w:val="20"/>
              </w:rPr>
            </w:pPr>
            <w:r>
              <w:rPr>
                <w:sz w:val="20"/>
              </w:rPr>
              <w:t xml:space="preserve">2. </w:t>
            </w:r>
            <w:r w:rsidR="00B46165">
              <w:rPr>
                <w:sz w:val="20"/>
              </w:rPr>
              <w:t>Student comp</w:t>
            </w:r>
            <w:r w:rsidR="00E11DA2">
              <w:rPr>
                <w:sz w:val="20"/>
              </w:rPr>
              <w:t xml:space="preserve">letion of the co-curricular </w:t>
            </w:r>
            <w:r w:rsidR="00B46165">
              <w:rPr>
                <w:sz w:val="20"/>
              </w:rPr>
              <w:t xml:space="preserve">activity and reflection posting in a discussion forum will be assessed using a </w:t>
            </w:r>
            <w:r w:rsidR="00E11DA2">
              <w:rPr>
                <w:sz w:val="20"/>
              </w:rPr>
              <w:t>rubric appropriate for online discussions</w:t>
            </w:r>
          </w:p>
          <w:p w14:paraId="0E1C188B" w14:textId="77777777" w:rsidR="00E06F48" w:rsidRDefault="00E06F48" w:rsidP="00351663">
            <w:pPr>
              <w:rPr>
                <w:sz w:val="20"/>
              </w:rPr>
            </w:pPr>
          </w:p>
          <w:p w14:paraId="66E64B49" w14:textId="77777777" w:rsidR="00E06F48" w:rsidRDefault="00E06F48" w:rsidP="00351663">
            <w:pPr>
              <w:rPr>
                <w:sz w:val="20"/>
              </w:rPr>
            </w:pPr>
            <w:r w:rsidRPr="00905CCE">
              <w:rPr>
                <w:sz w:val="20"/>
              </w:rPr>
              <w:t>Minimum Criteria for Success:</w:t>
            </w:r>
          </w:p>
          <w:p w14:paraId="7056A0BA" w14:textId="488574B2" w:rsidR="00B46165" w:rsidRDefault="00B46165" w:rsidP="00351663">
            <w:pPr>
              <w:rPr>
                <w:sz w:val="20"/>
              </w:rPr>
            </w:pPr>
            <w:r>
              <w:rPr>
                <w:sz w:val="20"/>
              </w:rPr>
              <w:t xml:space="preserve">1. </w:t>
            </w:r>
            <w:r w:rsidR="005D3621">
              <w:rPr>
                <w:sz w:val="20"/>
              </w:rPr>
              <w:t>Student</w:t>
            </w:r>
            <w:r w:rsidR="00E11DA2">
              <w:rPr>
                <w:sz w:val="20"/>
              </w:rPr>
              <w:t xml:space="preserve"> engagement of</w:t>
            </w:r>
            <w:r>
              <w:rPr>
                <w:sz w:val="20"/>
              </w:rPr>
              <w:t xml:space="preserve"> at least </w:t>
            </w:r>
            <w:r w:rsidR="00E11DA2">
              <w:rPr>
                <w:sz w:val="20"/>
              </w:rPr>
              <w:t>70%</w:t>
            </w:r>
            <w:r w:rsidR="00605FB3">
              <w:rPr>
                <w:sz w:val="20"/>
              </w:rPr>
              <w:t xml:space="preserve"> in all categories</w:t>
            </w:r>
            <w:r>
              <w:rPr>
                <w:sz w:val="20"/>
              </w:rPr>
              <w:t xml:space="preserve"> based on rubric.</w:t>
            </w:r>
          </w:p>
          <w:p w14:paraId="3349B8CF" w14:textId="2C6B0AD2" w:rsidR="005D3621" w:rsidRPr="00905CCE" w:rsidRDefault="00B46165" w:rsidP="00351663">
            <w:pPr>
              <w:rPr>
                <w:sz w:val="20"/>
              </w:rPr>
            </w:pPr>
            <w:r>
              <w:rPr>
                <w:sz w:val="20"/>
              </w:rPr>
              <w:t xml:space="preserve">2. Student engagement </w:t>
            </w:r>
            <w:r w:rsidR="00E11DA2">
              <w:rPr>
                <w:sz w:val="20"/>
              </w:rPr>
              <w:t>of</w:t>
            </w:r>
            <w:r>
              <w:rPr>
                <w:sz w:val="20"/>
              </w:rPr>
              <w:t xml:space="preserve"> at least </w:t>
            </w:r>
            <w:r w:rsidR="00E11DA2">
              <w:rPr>
                <w:sz w:val="20"/>
              </w:rPr>
              <w:t>70%</w:t>
            </w:r>
            <w:r w:rsidR="00605FB3">
              <w:rPr>
                <w:sz w:val="20"/>
              </w:rPr>
              <w:t xml:space="preserve"> in all categories</w:t>
            </w:r>
            <w:r>
              <w:rPr>
                <w:sz w:val="20"/>
              </w:rPr>
              <w:t xml:space="preserve"> based on rubric.</w:t>
            </w:r>
          </w:p>
          <w:p w14:paraId="0DE3EEE4" w14:textId="77777777" w:rsidR="00E06F48" w:rsidRDefault="00E06F48" w:rsidP="00351663">
            <w:pPr>
              <w:rPr>
                <w:i/>
                <w:color w:val="0070C0"/>
                <w:sz w:val="20"/>
              </w:rPr>
            </w:pPr>
          </w:p>
          <w:p w14:paraId="7C505A38" w14:textId="77777777" w:rsidR="00E06F48" w:rsidRDefault="00E06F48" w:rsidP="00351663">
            <w:pPr>
              <w:rPr>
                <w:sz w:val="20"/>
              </w:rPr>
            </w:pPr>
            <w:r>
              <w:rPr>
                <w:sz w:val="20"/>
              </w:rPr>
              <w:t>Sample:</w:t>
            </w:r>
          </w:p>
          <w:p w14:paraId="2E757104" w14:textId="61B4A567" w:rsidR="00E06F48" w:rsidRPr="00A80501" w:rsidRDefault="007008E9" w:rsidP="00351663">
            <w:pPr>
              <w:rPr>
                <w:i/>
                <w:color w:val="0070C0"/>
                <w:sz w:val="22"/>
              </w:rPr>
            </w:pPr>
            <w:r w:rsidRPr="007008E9">
              <w:rPr>
                <w:sz w:val="20"/>
                <w:szCs w:val="20"/>
              </w:rPr>
              <w:t>All students will be assessed.</w:t>
            </w:r>
          </w:p>
        </w:tc>
        <w:tc>
          <w:tcPr>
            <w:tcW w:w="3600" w:type="dxa"/>
            <w:vMerge w:val="restart"/>
          </w:tcPr>
          <w:p w14:paraId="6DC7C9A2" w14:textId="43D6B3D0" w:rsidR="00E06F48" w:rsidRPr="00BB7747" w:rsidRDefault="00BB7747" w:rsidP="00351663">
            <w:pPr>
              <w:rPr>
                <w:i/>
                <w:color w:val="4F81BD" w:themeColor="accent1"/>
                <w:sz w:val="20"/>
              </w:rPr>
            </w:pPr>
            <w:r w:rsidRPr="00BB7747">
              <w:rPr>
                <w:i/>
                <w:color w:val="4F81BD" w:themeColor="accent1"/>
                <w:sz w:val="20"/>
              </w:rPr>
              <w:t>To be entered after each time course is taught</w:t>
            </w: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rsidTr="00A43A2D">
        <w:trPr>
          <w:trHeight w:val="260"/>
        </w:trPr>
        <w:tc>
          <w:tcPr>
            <w:tcW w:w="4145" w:type="dxa"/>
          </w:tcPr>
          <w:p w14:paraId="57D9E0C0" w14:textId="4660E326" w:rsidR="00E06F48" w:rsidRPr="003D281E" w:rsidRDefault="00E06F48" w:rsidP="00351663">
            <w:pPr>
              <w:rPr>
                <w:b/>
                <w:sz w:val="20"/>
              </w:rPr>
            </w:pPr>
            <w:r>
              <w:rPr>
                <w:b/>
                <w:sz w:val="20"/>
              </w:rPr>
              <w:t>Course Learning Outcome</w:t>
            </w:r>
          </w:p>
        </w:tc>
        <w:tc>
          <w:tcPr>
            <w:tcW w:w="5935" w:type="dxa"/>
            <w:vMerge/>
          </w:tcPr>
          <w:p w14:paraId="5C9003DC" w14:textId="77777777" w:rsidR="00E06F48" w:rsidRPr="003D281E" w:rsidRDefault="00E06F48" w:rsidP="00351663">
            <w:pPr>
              <w:rPr>
                <w:sz w:val="22"/>
              </w:rPr>
            </w:pPr>
          </w:p>
        </w:tc>
        <w:tc>
          <w:tcPr>
            <w:tcW w:w="3600" w:type="dxa"/>
            <w:vMerge/>
          </w:tcPr>
          <w:p w14:paraId="1BF0EE29" w14:textId="77777777" w:rsidR="00E06F48" w:rsidRPr="003D281E" w:rsidRDefault="00E06F48" w:rsidP="00351663">
            <w:pPr>
              <w:rPr>
                <w:sz w:val="22"/>
              </w:rPr>
            </w:pPr>
          </w:p>
        </w:tc>
      </w:tr>
      <w:tr w:rsidR="00E06F48" w:rsidRPr="00F632F6" w14:paraId="3A9F76CC" w14:textId="77777777" w:rsidTr="00A43A2D">
        <w:trPr>
          <w:trHeight w:val="2393"/>
        </w:trPr>
        <w:tc>
          <w:tcPr>
            <w:tcW w:w="4145" w:type="dxa"/>
          </w:tcPr>
          <w:p w14:paraId="1E1E0D1C" w14:textId="13E2109C" w:rsidR="00E06F48" w:rsidRPr="004F5828" w:rsidRDefault="004F5828" w:rsidP="00351663">
            <w:pPr>
              <w:rPr>
                <w:color w:val="0070C0"/>
                <w:sz w:val="20"/>
              </w:rPr>
            </w:pPr>
            <w:r>
              <w:rPr>
                <w:sz w:val="20"/>
              </w:rPr>
              <w:t>Students will demonstrate a willingness to reflect on their own relationship to the environment and take responsibility to reduce their own ecological footprint, as well as engaging in local, global and intercultural problem solving.</w:t>
            </w:r>
          </w:p>
        </w:tc>
        <w:tc>
          <w:tcPr>
            <w:tcW w:w="5935" w:type="dxa"/>
            <w:vMerge/>
          </w:tcPr>
          <w:p w14:paraId="01E9AE03" w14:textId="77777777" w:rsidR="00E06F48" w:rsidRPr="003D281E" w:rsidRDefault="00E06F48" w:rsidP="00351663">
            <w:pPr>
              <w:rPr>
                <w:sz w:val="22"/>
              </w:rPr>
            </w:pPr>
          </w:p>
        </w:tc>
        <w:tc>
          <w:tcPr>
            <w:tcW w:w="3600" w:type="dxa"/>
            <w:vMerge/>
          </w:tcPr>
          <w:p w14:paraId="7CC55D76" w14:textId="77777777" w:rsidR="00E06F48" w:rsidRPr="003D281E" w:rsidRDefault="00E06F48" w:rsidP="00351663">
            <w:pPr>
              <w:rPr>
                <w:sz w:val="22"/>
              </w:rPr>
            </w:pPr>
          </w:p>
        </w:tc>
      </w:tr>
      <w:tr w:rsidR="00E06F48" w:rsidRPr="00F632F6" w14:paraId="38E56D09" w14:textId="77777777" w:rsidTr="00A43A2D">
        <w:trPr>
          <w:trHeight w:val="260"/>
        </w:trPr>
        <w:tc>
          <w:tcPr>
            <w:tcW w:w="13680"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rsidTr="00A43A2D">
        <w:trPr>
          <w:trHeight w:val="1664"/>
        </w:trPr>
        <w:tc>
          <w:tcPr>
            <w:tcW w:w="13680" w:type="dxa"/>
            <w:gridSpan w:val="3"/>
          </w:tcPr>
          <w:p w14:paraId="55639F28" w14:textId="77777777" w:rsidR="00BB7747" w:rsidRPr="00BB7747" w:rsidRDefault="00BB7747" w:rsidP="00BB7747">
            <w:pPr>
              <w:rPr>
                <w:i/>
                <w:color w:val="4F81BD" w:themeColor="accent1"/>
                <w:sz w:val="20"/>
              </w:rPr>
            </w:pPr>
            <w:r w:rsidRPr="00BB7747">
              <w:rPr>
                <w:i/>
                <w:color w:val="4F81BD" w:themeColor="accent1"/>
                <w:sz w:val="20"/>
              </w:rPr>
              <w:t>To be entered after each time course is taught</w:t>
            </w:r>
          </w:p>
          <w:p w14:paraId="5494B6D4" w14:textId="682F0695" w:rsidR="00E06F48" w:rsidRPr="00E713A6" w:rsidRDefault="00E06F48" w:rsidP="00E713A6">
            <w:pPr>
              <w:rPr>
                <w:color w:val="0070C0"/>
                <w:sz w:val="20"/>
              </w:rPr>
            </w:pP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4BEF0" w14:textId="77777777" w:rsidR="00900FC1" w:rsidRDefault="00900FC1">
      <w:r>
        <w:separator/>
      </w:r>
    </w:p>
  </w:endnote>
  <w:endnote w:type="continuationSeparator" w:id="0">
    <w:p w14:paraId="511FE792" w14:textId="77777777" w:rsidR="00900FC1" w:rsidRDefault="0090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BB7747">
      <w:rPr>
        <w:rStyle w:val="PageNumber"/>
        <w:noProof/>
        <w:sz w:val="20"/>
      </w:rPr>
      <w:t>2</w:t>
    </w:r>
    <w:r w:rsidRPr="00795F81">
      <w:rPr>
        <w:rStyle w:val="PageNumber"/>
        <w:sz w:val="20"/>
      </w:rPr>
      <w:fldChar w:fldCharType="end"/>
    </w:r>
  </w:p>
  <w:p w14:paraId="0820744C" w14:textId="30192A3A" w:rsidR="007821C4" w:rsidRPr="007D21C5" w:rsidRDefault="00EB0D86" w:rsidP="007D21C5">
    <w:pPr>
      <w:pStyle w:val="Footer"/>
      <w:jc w:val="right"/>
      <w:rPr>
        <w:sz w:val="16"/>
        <w:szCs w:val="16"/>
      </w:rPr>
    </w:pPr>
    <w:r>
      <w:rPr>
        <w:sz w:val="16"/>
        <w:szCs w:val="16"/>
      </w:rPr>
      <w:t>12</w:t>
    </w:r>
    <w:r w:rsidR="00006426">
      <w:rPr>
        <w:sz w:val="16"/>
        <w:szCs w:val="16"/>
      </w:rPr>
      <w:t>.10</w:t>
    </w:r>
    <w:r>
      <w:rPr>
        <w:sz w:val="16"/>
        <w:szCs w:val="16"/>
      </w:rPr>
      <w:t>.14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72170" w14:textId="77777777" w:rsidR="00900FC1" w:rsidRDefault="00900FC1">
      <w:r>
        <w:separator/>
      </w:r>
    </w:p>
  </w:footnote>
  <w:footnote w:type="continuationSeparator" w:id="0">
    <w:p w14:paraId="02D81519" w14:textId="77777777" w:rsidR="00900FC1" w:rsidRDefault="00900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669C8294" w:rsidR="007821C4" w:rsidRPr="00581F94" w:rsidRDefault="007821C4" w:rsidP="00351663">
    <w:pPr>
      <w:rPr>
        <w:sz w:val="20"/>
      </w:rPr>
    </w:pPr>
    <w:r w:rsidRPr="00581F94">
      <w:rPr>
        <w:sz w:val="20"/>
      </w:rPr>
      <w:t>Faculty Name:</w:t>
    </w:r>
  </w:p>
  <w:p w14:paraId="16B15278" w14:textId="46EBFED8" w:rsidR="007821C4" w:rsidRPr="00581F94" w:rsidRDefault="007821C4" w:rsidP="00351663">
    <w:pPr>
      <w:rPr>
        <w:sz w:val="20"/>
      </w:rPr>
    </w:pPr>
    <w:r w:rsidRPr="00581F94">
      <w:rPr>
        <w:sz w:val="20"/>
      </w:rPr>
      <w:t xml:space="preserve">Course:  </w:t>
    </w:r>
    <w:r w:rsidR="003851D1" w:rsidRPr="00B77454">
      <w:rPr>
        <w:sz w:val="20"/>
      </w:rPr>
      <w:t>EVR 1001, Intro to Enviro</w:t>
    </w:r>
    <w:r w:rsidR="00EB0D86">
      <w:rPr>
        <w:sz w:val="20"/>
      </w:rPr>
      <w:t>nmental Science</w:t>
    </w:r>
    <w:r w:rsidRPr="00581F94">
      <w:rPr>
        <w:sz w:val="20"/>
      </w:rPr>
      <w:tab/>
    </w:r>
  </w:p>
  <w:p w14:paraId="2BB58D01" w14:textId="7B9CB332" w:rsidR="007821C4" w:rsidRPr="00581F94" w:rsidRDefault="007821C4" w:rsidP="00351663">
    <w:pPr>
      <w:rPr>
        <w:sz w:val="20"/>
      </w:rPr>
    </w:pPr>
    <w:r w:rsidRPr="00581F94">
      <w:rPr>
        <w:sz w:val="20"/>
      </w:rPr>
      <w:t>Academic Unit:</w:t>
    </w:r>
    <w:r w:rsidRPr="00581F94">
      <w:rPr>
        <w:sz w:val="20"/>
      </w:rPr>
      <w:tab/>
    </w:r>
    <w:r w:rsidR="003851D1">
      <w:rPr>
        <w:sz w:val="20"/>
      </w:rPr>
      <w:t>Earth &amp; Environment</w:t>
    </w:r>
    <w:r w:rsidR="003851D1">
      <w:rPr>
        <w:sz w:val="20"/>
      </w:rPr>
      <w:tab/>
    </w:r>
    <w:r>
      <w:rPr>
        <w:sz w:val="20"/>
      </w:rPr>
      <w:tab/>
    </w:r>
    <w:r>
      <w:rPr>
        <w:sz w:val="20"/>
      </w:rPr>
      <w:tab/>
    </w:r>
    <w:r>
      <w:rPr>
        <w:sz w:val="20"/>
      </w:rPr>
      <w:tab/>
      <w:t>Degree Program:</w:t>
    </w:r>
    <w:r w:rsidR="003851D1">
      <w:rPr>
        <w:sz w:val="20"/>
      </w:rPr>
      <w:t xml:space="preserve"> UCC; B.A. in Sustainability</w:t>
    </w:r>
    <w:r w:rsidR="003851D1">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C058C"/>
    <w:multiLevelType w:val="hybridMultilevel"/>
    <w:tmpl w:val="442C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F41FA"/>
    <w:multiLevelType w:val="hybridMultilevel"/>
    <w:tmpl w:val="2570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2DAD10E4"/>
    <w:multiLevelType w:val="hybridMultilevel"/>
    <w:tmpl w:val="3D6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9">
    <w:nsid w:val="5BDB3597"/>
    <w:multiLevelType w:val="hybridMultilevel"/>
    <w:tmpl w:val="4790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33F9F"/>
    <w:multiLevelType w:val="hybridMultilevel"/>
    <w:tmpl w:val="464C6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31F1B"/>
    <w:multiLevelType w:val="hybridMultilevel"/>
    <w:tmpl w:val="D976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3">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87307F"/>
    <w:multiLevelType w:val="hybridMultilevel"/>
    <w:tmpl w:val="1B60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5"/>
  </w:num>
  <w:num w:numId="5">
    <w:abstractNumId w:val="0"/>
  </w:num>
  <w:num w:numId="6">
    <w:abstractNumId w:val="7"/>
  </w:num>
  <w:num w:numId="7">
    <w:abstractNumId w:val="3"/>
  </w:num>
  <w:num w:numId="8">
    <w:abstractNumId w:val="15"/>
  </w:num>
  <w:num w:numId="9">
    <w:abstractNumId w:val="13"/>
  </w:num>
  <w:num w:numId="10">
    <w:abstractNumId w:val="11"/>
  </w:num>
  <w:num w:numId="11">
    <w:abstractNumId w:val="2"/>
  </w:num>
  <w:num w:numId="12">
    <w:abstractNumId w:val="1"/>
  </w:num>
  <w:num w:numId="13">
    <w:abstractNumId w:val="10"/>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6427B"/>
    <w:rsid w:val="000958E7"/>
    <w:rsid w:val="000C4B42"/>
    <w:rsid w:val="00123CCD"/>
    <w:rsid w:val="001268E2"/>
    <w:rsid w:val="00153D2E"/>
    <w:rsid w:val="001D20A7"/>
    <w:rsid w:val="002434C6"/>
    <w:rsid w:val="00244674"/>
    <w:rsid w:val="002578C1"/>
    <w:rsid w:val="00283D66"/>
    <w:rsid w:val="002A2F28"/>
    <w:rsid w:val="00333D0E"/>
    <w:rsid w:val="00345845"/>
    <w:rsid w:val="00351663"/>
    <w:rsid w:val="003851D1"/>
    <w:rsid w:val="003A1EF5"/>
    <w:rsid w:val="003D2FAD"/>
    <w:rsid w:val="003D700B"/>
    <w:rsid w:val="003E132D"/>
    <w:rsid w:val="003E4953"/>
    <w:rsid w:val="003F3DB7"/>
    <w:rsid w:val="004011FE"/>
    <w:rsid w:val="00445D50"/>
    <w:rsid w:val="004C64E0"/>
    <w:rsid w:val="004D4DB2"/>
    <w:rsid w:val="004F5828"/>
    <w:rsid w:val="00521FFD"/>
    <w:rsid w:val="00530D1B"/>
    <w:rsid w:val="00543D20"/>
    <w:rsid w:val="00581F94"/>
    <w:rsid w:val="00587F27"/>
    <w:rsid w:val="00595D56"/>
    <w:rsid w:val="005C58EB"/>
    <w:rsid w:val="005D3621"/>
    <w:rsid w:val="00605FB3"/>
    <w:rsid w:val="00656EA4"/>
    <w:rsid w:val="00670CCC"/>
    <w:rsid w:val="0069792F"/>
    <w:rsid w:val="006A06CE"/>
    <w:rsid w:val="006B345F"/>
    <w:rsid w:val="006F77DC"/>
    <w:rsid w:val="007008E9"/>
    <w:rsid w:val="007505D0"/>
    <w:rsid w:val="007625D5"/>
    <w:rsid w:val="007821C4"/>
    <w:rsid w:val="00795F81"/>
    <w:rsid w:val="007D033E"/>
    <w:rsid w:val="007D21C5"/>
    <w:rsid w:val="0087295D"/>
    <w:rsid w:val="008C391C"/>
    <w:rsid w:val="008E2DC9"/>
    <w:rsid w:val="00900FC1"/>
    <w:rsid w:val="00930123"/>
    <w:rsid w:val="00943D59"/>
    <w:rsid w:val="009510DF"/>
    <w:rsid w:val="00986B5F"/>
    <w:rsid w:val="00995146"/>
    <w:rsid w:val="009B0696"/>
    <w:rsid w:val="00A14747"/>
    <w:rsid w:val="00A43A2D"/>
    <w:rsid w:val="00A832A9"/>
    <w:rsid w:val="00AA1DEA"/>
    <w:rsid w:val="00AB5B3F"/>
    <w:rsid w:val="00AD36B4"/>
    <w:rsid w:val="00B01190"/>
    <w:rsid w:val="00B41437"/>
    <w:rsid w:val="00B46165"/>
    <w:rsid w:val="00B77454"/>
    <w:rsid w:val="00B95595"/>
    <w:rsid w:val="00BA2F5B"/>
    <w:rsid w:val="00BB7747"/>
    <w:rsid w:val="00BC5A01"/>
    <w:rsid w:val="00BF34D2"/>
    <w:rsid w:val="00C10F62"/>
    <w:rsid w:val="00C3497C"/>
    <w:rsid w:val="00C85AD3"/>
    <w:rsid w:val="00D46EE4"/>
    <w:rsid w:val="00DA5804"/>
    <w:rsid w:val="00DC61D0"/>
    <w:rsid w:val="00DC746E"/>
    <w:rsid w:val="00DD1BDB"/>
    <w:rsid w:val="00E06F48"/>
    <w:rsid w:val="00E11DA2"/>
    <w:rsid w:val="00E21FB8"/>
    <w:rsid w:val="00E40B26"/>
    <w:rsid w:val="00E6631C"/>
    <w:rsid w:val="00E713A6"/>
    <w:rsid w:val="00EA00A9"/>
    <w:rsid w:val="00EB0D86"/>
    <w:rsid w:val="00EB5E70"/>
    <w:rsid w:val="00F45ECC"/>
    <w:rsid w:val="00F479BA"/>
    <w:rsid w:val="00F51FFE"/>
    <w:rsid w:val="00FB04D7"/>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670CCC"/>
    <w:rPr>
      <w:sz w:val="18"/>
      <w:szCs w:val="18"/>
    </w:rPr>
  </w:style>
  <w:style w:type="paragraph" w:styleId="CommentText">
    <w:name w:val="annotation text"/>
    <w:basedOn w:val="Normal"/>
    <w:link w:val="CommentTextChar"/>
    <w:rsid w:val="00670CCC"/>
  </w:style>
  <w:style w:type="character" w:customStyle="1" w:styleId="CommentTextChar">
    <w:name w:val="Comment Text Char"/>
    <w:basedOn w:val="DefaultParagraphFont"/>
    <w:link w:val="CommentText"/>
    <w:rsid w:val="00670CCC"/>
    <w:rPr>
      <w:rFonts w:ascii="Arial" w:hAnsi="Arial"/>
    </w:rPr>
  </w:style>
  <w:style w:type="paragraph" w:styleId="CommentSubject">
    <w:name w:val="annotation subject"/>
    <w:basedOn w:val="CommentText"/>
    <w:next w:val="CommentText"/>
    <w:link w:val="CommentSubjectChar"/>
    <w:rsid w:val="00670CCC"/>
    <w:rPr>
      <w:b/>
      <w:bCs/>
      <w:sz w:val="20"/>
      <w:szCs w:val="20"/>
    </w:rPr>
  </w:style>
  <w:style w:type="character" w:customStyle="1" w:styleId="CommentSubjectChar">
    <w:name w:val="Comment Subject Char"/>
    <w:basedOn w:val="CommentTextChar"/>
    <w:link w:val="CommentSubject"/>
    <w:rsid w:val="00670CCC"/>
    <w:rPr>
      <w:rFonts w:ascii="Arial" w:hAnsi="Arial"/>
      <w:b/>
      <w:bCs/>
      <w:sz w:val="20"/>
      <w:szCs w:val="20"/>
    </w:rPr>
  </w:style>
  <w:style w:type="paragraph" w:styleId="Revision">
    <w:name w:val="Revision"/>
    <w:hidden/>
    <w:rsid w:val="00670CCC"/>
    <w:rPr>
      <w:rFonts w:ascii="Arial" w:hAnsi="Arial"/>
    </w:rPr>
  </w:style>
  <w:style w:type="paragraph" w:styleId="ListParagraph">
    <w:name w:val="List Paragraph"/>
    <w:basedOn w:val="Normal"/>
    <w:rsid w:val="004C64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670CCC"/>
    <w:rPr>
      <w:sz w:val="18"/>
      <w:szCs w:val="18"/>
    </w:rPr>
  </w:style>
  <w:style w:type="paragraph" w:styleId="CommentText">
    <w:name w:val="annotation text"/>
    <w:basedOn w:val="Normal"/>
    <w:link w:val="CommentTextChar"/>
    <w:rsid w:val="00670CCC"/>
  </w:style>
  <w:style w:type="character" w:customStyle="1" w:styleId="CommentTextChar">
    <w:name w:val="Comment Text Char"/>
    <w:basedOn w:val="DefaultParagraphFont"/>
    <w:link w:val="CommentText"/>
    <w:rsid w:val="00670CCC"/>
    <w:rPr>
      <w:rFonts w:ascii="Arial" w:hAnsi="Arial"/>
    </w:rPr>
  </w:style>
  <w:style w:type="paragraph" w:styleId="CommentSubject">
    <w:name w:val="annotation subject"/>
    <w:basedOn w:val="CommentText"/>
    <w:next w:val="CommentText"/>
    <w:link w:val="CommentSubjectChar"/>
    <w:rsid w:val="00670CCC"/>
    <w:rPr>
      <w:b/>
      <w:bCs/>
      <w:sz w:val="20"/>
      <w:szCs w:val="20"/>
    </w:rPr>
  </w:style>
  <w:style w:type="character" w:customStyle="1" w:styleId="CommentSubjectChar">
    <w:name w:val="Comment Subject Char"/>
    <w:basedOn w:val="CommentTextChar"/>
    <w:link w:val="CommentSubject"/>
    <w:rsid w:val="00670CCC"/>
    <w:rPr>
      <w:rFonts w:ascii="Arial" w:hAnsi="Arial"/>
      <w:b/>
      <w:bCs/>
      <w:sz w:val="20"/>
      <w:szCs w:val="20"/>
    </w:rPr>
  </w:style>
  <w:style w:type="paragraph" w:styleId="Revision">
    <w:name w:val="Revision"/>
    <w:hidden/>
    <w:rsid w:val="00670CCC"/>
    <w:rPr>
      <w:rFonts w:ascii="Arial" w:hAnsi="Arial"/>
    </w:rPr>
  </w:style>
  <w:style w:type="paragraph" w:styleId="ListParagraph">
    <w:name w:val="List Paragraph"/>
    <w:basedOn w:val="Normal"/>
    <w:rsid w:val="004C6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2013-02-14T18:35:00Z</cp:lastPrinted>
  <dcterms:created xsi:type="dcterms:W3CDTF">2016-08-31T17:50:00Z</dcterms:created>
  <dcterms:modified xsi:type="dcterms:W3CDTF">2016-08-31T17:50:00Z</dcterms:modified>
</cp:coreProperties>
</file>