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243E485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Assessment Activity/Artifact:</w:t>
            </w:r>
          </w:p>
          <w:p w14:paraId="2134E1FD" w14:textId="3A6FD981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Students will be required to solve assigned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problems on population growth modeling and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resource consumption that demonstrate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understanding of the interrelatedness of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environmental problems and the impacts of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population, affluence and technology on the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magnitude of environmental impacts.</w:t>
            </w:r>
          </w:p>
          <w:p w14:paraId="6FF7FD08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04CE792F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Evaluation Process:</w:t>
            </w:r>
          </w:p>
          <w:p w14:paraId="53B0A8B2" w14:textId="03C780CD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problems will be evaluated using a point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system that gives a certain weight to various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parts of the solution. The total number of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points for each problem is 10 points (2 points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for understanding and interpreting the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problem, 4 points for methodology, and 4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points for calculations).</w:t>
            </w:r>
          </w:p>
          <w:p w14:paraId="17A4F47E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B449AA4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Minimum Criteria for Success:</w:t>
            </w:r>
          </w:p>
          <w:p w14:paraId="24768CF8" w14:textId="7C679D26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Students will achieve a 7 or better for each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 based on a 10-point evaluation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system.</w:t>
            </w:r>
          </w:p>
          <w:p w14:paraId="2E04A461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730AD6CA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Sample:</w:t>
            </w:r>
          </w:p>
          <w:p w14:paraId="514F6A88" w14:textId="01DEF547" w:rsidR="00E06F48" w:rsidRPr="00A80501" w:rsidRDefault="00F25C0E" w:rsidP="00F25C0E">
            <w:pPr>
              <w:rPr>
                <w:i/>
                <w:color w:val="0070C0"/>
                <w:sz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All students will be assessed.</w:t>
            </w: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0194973C" w:rsidR="00E06F48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Students will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demonstrate an understanding of </w:t>
            </w:r>
            <w:r>
              <w:rPr>
                <w:rFonts w:ascii="Helvetica" w:hAnsi="Helvetica" w:cs="Helvetica"/>
                <w:sz w:val="20"/>
                <w:szCs w:val="20"/>
              </w:rPr>
              <w:t>the interrelatedness of environmental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problems around the world, that these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problems have no national borders, and that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the extent of these problems is affected by the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different socioeconomic, technological, and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other conditions.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215"/>
        <w:gridCol w:w="3471"/>
      </w:tblGrid>
      <w:tr w:rsidR="00E06F48" w:rsidRPr="00F632F6" w14:paraId="10BBA699" w14:textId="77777777" w:rsidTr="00F25C0E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215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47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F25C0E">
        <w:trPr>
          <w:trHeight w:val="2294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215" w:type="dxa"/>
            <w:vMerge w:val="restart"/>
          </w:tcPr>
          <w:p w14:paraId="4D705DB9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Assessment Activity/Artifact:</w:t>
            </w:r>
          </w:p>
          <w:p w14:paraId="613CE9DB" w14:textId="41D49782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Group project on selected environmental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problem (e.g., worldwide transportation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sector’s contribution to fossil fuel consumption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and greenhouse gas emissions) – this will be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assessed through both an oral presentation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and a brief written report.</w:t>
            </w:r>
          </w:p>
          <w:p w14:paraId="6F456D2A" w14:textId="1124D315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Each group will have between 5 and 10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students so that there are a total of not more</w:t>
            </w:r>
          </w:p>
          <w:p w14:paraId="121CBD33" w14:textId="461F30E2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F25C0E">
              <w:rPr>
                <w:rFonts w:cs="Arial"/>
                <w:sz w:val="16"/>
                <w:szCs w:val="16"/>
              </w:rPr>
              <w:t>than</w:t>
            </w:r>
            <w:proofErr w:type="gramEnd"/>
            <w:r w:rsidRPr="00F25C0E">
              <w:rPr>
                <w:rFonts w:cs="Arial"/>
                <w:sz w:val="16"/>
                <w:szCs w:val="16"/>
              </w:rPr>
              <w:t xml:space="preserve"> ten groups to accommodate student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presentations in the allotted class time (group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size will depend on class size; the Fall 2010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class enrollment is ~60 students). Since the</w:t>
            </w:r>
          </w:p>
          <w:p w14:paraId="6B0D245A" w14:textId="50DE0799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CEE department awards separate BS degrees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in both Civil Engineering (</w:t>
            </w:r>
            <w:proofErr w:type="spellStart"/>
            <w:r w:rsidRPr="00F25C0E">
              <w:rPr>
                <w:rFonts w:cs="Arial"/>
                <w:sz w:val="16"/>
                <w:szCs w:val="16"/>
              </w:rPr>
              <w:t>CivE</w:t>
            </w:r>
            <w:proofErr w:type="spellEnd"/>
            <w:r w:rsidRPr="00F25C0E">
              <w:rPr>
                <w:rFonts w:cs="Arial"/>
                <w:sz w:val="16"/>
                <w:szCs w:val="16"/>
              </w:rPr>
              <w:t>) and in</w:t>
            </w:r>
          </w:p>
          <w:p w14:paraId="72386FA0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Environmental Engineering (</w:t>
            </w:r>
            <w:proofErr w:type="spellStart"/>
            <w:r w:rsidRPr="00F25C0E">
              <w:rPr>
                <w:rFonts w:cs="Arial"/>
                <w:sz w:val="16"/>
                <w:szCs w:val="16"/>
              </w:rPr>
              <w:t>EnvE</w:t>
            </w:r>
            <w:proofErr w:type="spellEnd"/>
            <w:r w:rsidRPr="00F25C0E">
              <w:rPr>
                <w:rFonts w:cs="Arial"/>
                <w:sz w:val="16"/>
                <w:szCs w:val="16"/>
              </w:rPr>
              <w:t>), and ENV</w:t>
            </w:r>
          </w:p>
          <w:p w14:paraId="2DFBEFE7" w14:textId="67108DB8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3001 is mandatory for both groups of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students, will try to ensure that at least one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 xml:space="preserve">student from each program (i.e., </w:t>
            </w:r>
            <w:proofErr w:type="spellStart"/>
            <w:r w:rsidRPr="00F25C0E">
              <w:rPr>
                <w:rFonts w:cs="Arial"/>
                <w:sz w:val="16"/>
                <w:szCs w:val="16"/>
              </w:rPr>
              <w:t>CivE</w:t>
            </w:r>
            <w:proofErr w:type="spellEnd"/>
            <w:r w:rsidRPr="00F25C0E">
              <w:rPr>
                <w:rFonts w:cs="Arial"/>
                <w:sz w:val="16"/>
                <w:szCs w:val="16"/>
              </w:rPr>
              <w:t xml:space="preserve"> and</w:t>
            </w:r>
          </w:p>
          <w:p w14:paraId="352F369A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F25C0E">
              <w:rPr>
                <w:rFonts w:cs="Arial"/>
                <w:sz w:val="16"/>
                <w:szCs w:val="16"/>
              </w:rPr>
              <w:t>EnvE</w:t>
            </w:r>
            <w:proofErr w:type="spellEnd"/>
            <w:r w:rsidRPr="00F25C0E">
              <w:rPr>
                <w:rFonts w:cs="Arial"/>
                <w:sz w:val="16"/>
                <w:szCs w:val="16"/>
              </w:rPr>
              <w:t>) is present in each group.</w:t>
            </w:r>
          </w:p>
          <w:p w14:paraId="0119B4E6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6F4E88EF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Evaluation Process:</w:t>
            </w:r>
          </w:p>
          <w:p w14:paraId="626A7901" w14:textId="136B4A19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1. The oral presentation will be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evaluated based on accuracy and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depth, and demonstration of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understanding of the global issues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involved by peer groups and by the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instructor(s) using a 5-point rubric.</w:t>
            </w:r>
          </w:p>
          <w:p w14:paraId="713A93C1" w14:textId="751AD734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2. Students will also be assessed for the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written report submitted. This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assessment will be evaluated using a</w:t>
            </w:r>
          </w:p>
          <w:p w14:paraId="6F43350B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5-point rubric.</w:t>
            </w:r>
          </w:p>
          <w:p w14:paraId="21BECCFE" w14:textId="77777777" w:rsidR="00F25C0E" w:rsidRPr="00F25C0E" w:rsidRDefault="00F25C0E" w:rsidP="00F25C0E">
            <w:pPr>
              <w:rPr>
                <w:rFonts w:cs="Arial"/>
                <w:sz w:val="12"/>
                <w:szCs w:val="12"/>
              </w:rPr>
            </w:pPr>
          </w:p>
          <w:p w14:paraId="7070809E" w14:textId="0056D06D" w:rsidR="00E06F48" w:rsidRPr="00F25C0E" w:rsidRDefault="00F25C0E" w:rsidP="00F25C0E">
            <w:pPr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Minimum Criteria for Success:</w:t>
            </w:r>
          </w:p>
          <w:p w14:paraId="49F8F89C" w14:textId="0A8F0B92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1. Gr</w:t>
            </w:r>
            <w:r w:rsidRPr="00F25C0E">
              <w:rPr>
                <w:rFonts w:cs="Arial"/>
                <w:sz w:val="16"/>
                <w:szCs w:val="16"/>
              </w:rPr>
              <w:t xml:space="preserve">oups will require a 3 or better </w:t>
            </w:r>
            <w:r w:rsidRPr="00F25C0E">
              <w:rPr>
                <w:rFonts w:cs="Arial"/>
                <w:sz w:val="16"/>
                <w:szCs w:val="16"/>
              </w:rPr>
              <w:t>performance out of 5 for their oral</w:t>
            </w:r>
            <w:r w:rsidRPr="00F25C0E">
              <w:rPr>
                <w:rFonts w:cs="Arial"/>
                <w:sz w:val="16"/>
                <w:szCs w:val="16"/>
              </w:rPr>
              <w:t xml:space="preserve"> </w:t>
            </w:r>
            <w:r w:rsidRPr="00F25C0E">
              <w:rPr>
                <w:rFonts w:cs="Arial"/>
                <w:sz w:val="16"/>
                <w:szCs w:val="16"/>
              </w:rPr>
              <w:t>presentations.</w:t>
            </w:r>
          </w:p>
          <w:p w14:paraId="4649BCCD" w14:textId="3E05033F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 xml:space="preserve">2. Groups </w:t>
            </w:r>
            <w:r w:rsidRPr="00F25C0E">
              <w:rPr>
                <w:rFonts w:cs="Arial"/>
                <w:sz w:val="16"/>
                <w:szCs w:val="16"/>
              </w:rPr>
              <w:t xml:space="preserve">will also require a 3 or better </w:t>
            </w:r>
            <w:r w:rsidRPr="00F25C0E">
              <w:rPr>
                <w:rFonts w:cs="Arial"/>
                <w:sz w:val="16"/>
                <w:szCs w:val="16"/>
              </w:rPr>
              <w:t>performance for their project reports.</w:t>
            </w:r>
          </w:p>
          <w:p w14:paraId="615A5B21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15DCDF5D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25C0E">
              <w:rPr>
                <w:rFonts w:cs="Arial"/>
                <w:sz w:val="16"/>
                <w:szCs w:val="16"/>
              </w:rPr>
              <w:t>Sample:</w:t>
            </w:r>
          </w:p>
          <w:p w14:paraId="27031866" w14:textId="6266F99F" w:rsidR="00E06F48" w:rsidRPr="00A80501" w:rsidRDefault="00F25C0E" w:rsidP="00351663">
            <w:pPr>
              <w:rPr>
                <w:i/>
                <w:color w:val="0070C0"/>
                <w:sz w:val="22"/>
              </w:rPr>
            </w:pPr>
            <w:r w:rsidRPr="00F25C0E">
              <w:rPr>
                <w:rFonts w:cs="Arial"/>
                <w:sz w:val="16"/>
                <w:szCs w:val="16"/>
              </w:rPr>
              <w:t>All students will be assessed.</w:t>
            </w:r>
          </w:p>
        </w:tc>
        <w:tc>
          <w:tcPr>
            <w:tcW w:w="3471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F25C0E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215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47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F25C0E">
        <w:trPr>
          <w:trHeight w:val="2393"/>
        </w:trPr>
        <w:tc>
          <w:tcPr>
            <w:tcW w:w="4145" w:type="dxa"/>
          </w:tcPr>
          <w:p w14:paraId="3E541137" w14:textId="5F0E7D2E" w:rsidR="00E06F48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Students will be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able to conduct an analysis of </w:t>
            </w:r>
            <w:r>
              <w:rPr>
                <w:rFonts w:ascii="Helvetica" w:hAnsi="Helvetica" w:cs="Helvetica"/>
                <w:sz w:val="20"/>
                <w:szCs w:val="20"/>
              </w:rPr>
              <w:t>the globa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l nature of a selected </w:t>
            </w:r>
            <w:r>
              <w:rPr>
                <w:rFonts w:ascii="Helvetica" w:hAnsi="Helvetica" w:cs="Helvetica"/>
                <w:sz w:val="20"/>
                <w:szCs w:val="20"/>
              </w:rPr>
              <w:t>environmental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 and the extent to which factors such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as economics, technology, and society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contribute to the problem.</w:t>
            </w:r>
          </w:p>
        </w:tc>
        <w:tc>
          <w:tcPr>
            <w:tcW w:w="5215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47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675"/>
        <w:gridCol w:w="4011"/>
      </w:tblGrid>
      <w:tr w:rsidR="00E06F48" w:rsidRPr="00F632F6" w14:paraId="7CEE1F7C" w14:textId="77777777" w:rsidTr="00F25C0E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675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01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F25C0E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675" w:type="dxa"/>
            <w:vMerge w:val="restart"/>
          </w:tcPr>
          <w:p w14:paraId="590F22B9" w14:textId="77777777" w:rsidR="00E06F48" w:rsidRPr="00F25C0E" w:rsidRDefault="00E06F48" w:rsidP="00351663">
            <w:pPr>
              <w:rPr>
                <w:sz w:val="18"/>
                <w:szCs w:val="18"/>
              </w:rPr>
            </w:pPr>
            <w:r w:rsidRPr="00F25C0E">
              <w:rPr>
                <w:sz w:val="18"/>
                <w:szCs w:val="18"/>
              </w:rPr>
              <w:t>Assessment Activity/Artifact:</w:t>
            </w:r>
          </w:p>
          <w:p w14:paraId="5B6842F3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Assessment Activity/Artifact:</w:t>
            </w:r>
          </w:p>
          <w:p w14:paraId="45BCBF2F" w14:textId="15DE3839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Reflection on group project: student comment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on their personal and professional problem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solving philosophy as environmental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engineers, and the influence of the project and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course on that philosophy.</w:t>
            </w:r>
          </w:p>
          <w:p w14:paraId="091F9FEE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74FF4690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Evaluation Process:</w:t>
            </w:r>
          </w:p>
          <w:p w14:paraId="5C84937D" w14:textId="1BEFF119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 xml:space="preserve">1. Survey students using a </w:t>
            </w:r>
            <w:proofErr w:type="spellStart"/>
            <w:r w:rsidRPr="00F25C0E">
              <w:rPr>
                <w:rFonts w:ascii="Helvetica" w:hAnsi="Helvetica" w:cs="Helvetica"/>
                <w:sz w:val="18"/>
                <w:szCs w:val="18"/>
              </w:rPr>
              <w:t>Likert</w:t>
            </w:r>
            <w:proofErr w:type="spellEnd"/>
            <w:r w:rsidRPr="00F25C0E">
              <w:rPr>
                <w:rFonts w:ascii="Helvetica" w:hAnsi="Helvetica" w:cs="Helvetica"/>
                <w:sz w:val="18"/>
                <w:szCs w:val="18"/>
              </w:rPr>
              <w:t xml:space="preserve"> scale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to measure if their philosophy has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changed (e.g., 1 = no change in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philosophy, 2 = some change, 3 =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significant change)</w:t>
            </w:r>
          </w:p>
          <w:p w14:paraId="38C8F922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2. Open ended reflective essay on the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impact of the course and project on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their problem solving philosophy.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317EC35C" w14:textId="5DCFC2DB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Writing proficiency will be evaluated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using a 5-point rubric.</w:t>
            </w:r>
          </w:p>
          <w:p w14:paraId="495537B3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67196FB2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Minimum Criteria for Success:</w:t>
            </w:r>
          </w:p>
          <w:p w14:paraId="55DEE03F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1. 2 on a 1-3 scale</w:t>
            </w:r>
          </w:p>
          <w:p w14:paraId="41F27F39" w14:textId="741DE9D4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2. Students will provide a minimum of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two ways the class has/has not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influenced their problem solving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philosophy.</w:t>
            </w:r>
          </w:p>
          <w:p w14:paraId="309FA3BF" w14:textId="337FE17A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3. Students will require a 3 or better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F25C0E">
              <w:rPr>
                <w:rFonts w:ascii="Helvetica" w:hAnsi="Helvetica" w:cs="Helvetica"/>
                <w:sz w:val="18"/>
                <w:szCs w:val="18"/>
              </w:rPr>
              <w:t>performance out of 5 for their essays.</w:t>
            </w:r>
          </w:p>
          <w:p w14:paraId="4BF9CDB3" w14:textId="77777777" w:rsid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77599F10" w14:textId="77777777" w:rsidR="00F25C0E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Sample:</w:t>
            </w:r>
          </w:p>
          <w:p w14:paraId="2E757104" w14:textId="3AA40387" w:rsidR="00E06F48" w:rsidRPr="00A80501" w:rsidRDefault="00F25C0E" w:rsidP="00351663">
            <w:pPr>
              <w:rPr>
                <w:i/>
                <w:color w:val="0070C0"/>
                <w:sz w:val="22"/>
              </w:rPr>
            </w:pPr>
            <w:r w:rsidRPr="00F25C0E">
              <w:rPr>
                <w:rFonts w:ascii="Helvetica" w:hAnsi="Helvetica" w:cs="Helvetica"/>
                <w:sz w:val="18"/>
                <w:szCs w:val="18"/>
              </w:rPr>
              <w:t>All students will be assessed.</w:t>
            </w:r>
          </w:p>
        </w:tc>
        <w:tc>
          <w:tcPr>
            <w:tcW w:w="4011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F25C0E">
        <w:trPr>
          <w:trHeight w:val="260"/>
        </w:trPr>
        <w:tc>
          <w:tcPr>
            <w:tcW w:w="4145" w:type="dxa"/>
          </w:tcPr>
          <w:p w14:paraId="57D9E0C0" w14:textId="110A60AD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675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01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F25C0E">
        <w:trPr>
          <w:trHeight w:val="2393"/>
        </w:trPr>
        <w:tc>
          <w:tcPr>
            <w:tcW w:w="4145" w:type="dxa"/>
          </w:tcPr>
          <w:p w14:paraId="1E1E0D1C" w14:textId="4B02788A" w:rsidR="00E06F48" w:rsidRPr="00F25C0E" w:rsidRDefault="00F25C0E" w:rsidP="00F25C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Students wi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ll demonstrate a willingness to </w:t>
            </w:r>
            <w:r>
              <w:rPr>
                <w:rFonts w:ascii="Helvetica" w:hAnsi="Helvetica" w:cs="Helvetica"/>
                <w:sz w:val="20"/>
                <w:szCs w:val="20"/>
              </w:rPr>
              <w:t>develop an engineering solution, process, or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technology that reduces adverse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environmental impact, is more sustainable,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and is appropriate within the framework of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economic, technological, and societal factors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Helvetica" w:hAnsi="Helvetica" w:cs="Helvetica"/>
                <w:sz w:val="20"/>
                <w:szCs w:val="20"/>
              </w:rPr>
              <w:t>at national, regional, and global levels.</w:t>
            </w:r>
          </w:p>
        </w:tc>
        <w:tc>
          <w:tcPr>
            <w:tcW w:w="4675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01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25C0E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5187A343" w14:textId="77777777" w:rsidR="00F25C0E" w:rsidRDefault="00F25C0E" w:rsidP="00F25C0E">
    <w:pPr>
      <w:widowControl w:val="0"/>
      <w:autoSpaceDE w:val="0"/>
      <w:autoSpaceDN w:val="0"/>
      <w:adjustRightInd w:val="0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Course: ENV 3001, Introduction to Environmental Engineering</w:t>
    </w:r>
  </w:p>
  <w:p w14:paraId="2BB58D01" w14:textId="2F01050A" w:rsidR="007821C4" w:rsidRPr="00581F94" w:rsidRDefault="00F25C0E" w:rsidP="00F25C0E">
    <w:pPr>
      <w:rPr>
        <w:sz w:val="20"/>
      </w:rPr>
    </w:pPr>
    <w:r>
      <w:rPr>
        <w:rFonts w:ascii="Helvetica" w:hAnsi="Helvetica" w:cs="Helvetica"/>
        <w:sz w:val="20"/>
        <w:szCs w:val="20"/>
      </w:rPr>
      <w:t xml:space="preserve">Academic Unit: Civil &amp; Environmental Engineering </w:t>
    </w:r>
    <w:r>
      <w:rPr>
        <w:rFonts w:ascii="Helvetica" w:hAnsi="Helvetica" w:cs="Helvetica"/>
        <w:sz w:val="20"/>
        <w:szCs w:val="20"/>
      </w:rPr>
      <w:tab/>
    </w:r>
    <w:r>
      <w:rPr>
        <w:rFonts w:ascii="Helvetica" w:hAnsi="Helvetica" w:cs="Helvetica"/>
        <w:sz w:val="20"/>
        <w:szCs w:val="20"/>
      </w:rPr>
      <w:t xml:space="preserve">Degree Program: BSCE and BSEE </w:t>
    </w:r>
    <w:r>
      <w:rPr>
        <w:rFonts w:ascii="Helvetica" w:hAnsi="Helvetica" w:cs="Helvetica"/>
        <w:sz w:val="20"/>
        <w:szCs w:val="20"/>
      </w:rPr>
      <w:tab/>
    </w:r>
    <w:r>
      <w:rPr>
        <w:rFonts w:ascii="Helvetica" w:hAnsi="Helvetica" w:cs="Helvetica"/>
        <w:sz w:val="20"/>
        <w:szCs w:val="20"/>
      </w:rPr>
      <w:tab/>
    </w:r>
    <w:r>
      <w:rPr>
        <w:rFonts w:ascii="Helvetica" w:hAnsi="Helvetica" w:cs="Helvetica"/>
        <w:sz w:val="20"/>
        <w:szCs w:val="20"/>
      </w:rPr>
      <w:tab/>
    </w:r>
    <w:r>
      <w:rPr>
        <w:rFonts w:ascii="Helvetica" w:hAnsi="Helvetica" w:cs="Helvetica"/>
        <w:sz w:val="20"/>
        <w:szCs w:val="20"/>
      </w:rPr>
      <w:t>Semester Assessed:</w:t>
    </w:r>
    <w:r w:rsidR="007821C4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25C0E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2012-12-13T18:33:00Z</dcterms:created>
  <dcterms:modified xsi:type="dcterms:W3CDTF">2012-12-13T18:33:00Z</dcterms:modified>
</cp:coreProperties>
</file>