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68D8707D" w14:textId="77777777" w:rsidR="007B1B70" w:rsidRPr="007B1B70" w:rsidRDefault="007B1B70" w:rsidP="007B1B70">
            <w:pPr>
              <w:rPr>
                <w:sz w:val="20"/>
              </w:rPr>
            </w:pPr>
            <w:r w:rsidRPr="007B1B70">
              <w:rPr>
                <w:sz w:val="20"/>
              </w:rPr>
              <w:t>Assessment Activity/Artifact: Students will</w:t>
            </w:r>
          </w:p>
          <w:p w14:paraId="44A3860A" w14:textId="40BF1C73" w:rsidR="007B1B70" w:rsidRPr="007B1B70" w:rsidRDefault="007B1B70" w:rsidP="007B1B70">
            <w:pPr>
              <w:rPr>
                <w:sz w:val="20"/>
              </w:rPr>
            </w:pPr>
            <w:r w:rsidRPr="007B1B70">
              <w:rPr>
                <w:sz w:val="20"/>
              </w:rPr>
              <w:t>submit a three to four-page reflection essay</w:t>
            </w:r>
            <w:r>
              <w:rPr>
                <w:sz w:val="20"/>
              </w:rPr>
              <w:t xml:space="preserve"> </w:t>
            </w:r>
            <w:r w:rsidRPr="007B1B70">
              <w:rPr>
                <w:sz w:val="20"/>
              </w:rPr>
              <w:t>on</w:t>
            </w:r>
          </w:p>
          <w:p w14:paraId="505A1508" w14:textId="77777777" w:rsidR="007B1B70" w:rsidRPr="007B1B70" w:rsidRDefault="007B1B70" w:rsidP="007B1B70">
            <w:pPr>
              <w:rPr>
                <w:sz w:val="20"/>
              </w:rPr>
            </w:pPr>
            <w:r w:rsidRPr="007B1B70">
              <w:rPr>
                <w:sz w:val="20"/>
              </w:rPr>
              <w:t>innovation, exploring opportunities to</w:t>
            </w:r>
          </w:p>
          <w:p w14:paraId="2AE5C739" w14:textId="77777777" w:rsidR="007B1B70" w:rsidRPr="007B1B70" w:rsidRDefault="007B1B70" w:rsidP="007B1B70">
            <w:pPr>
              <w:rPr>
                <w:sz w:val="20"/>
              </w:rPr>
            </w:pPr>
            <w:r w:rsidRPr="007B1B70">
              <w:rPr>
                <w:sz w:val="20"/>
              </w:rPr>
              <w:t>introduce engineering innovations locally,</w:t>
            </w:r>
          </w:p>
          <w:p w14:paraId="4C189E16" w14:textId="77777777" w:rsidR="007B1B70" w:rsidRPr="007B1B70" w:rsidRDefault="007B1B70" w:rsidP="007B1B70">
            <w:pPr>
              <w:rPr>
                <w:sz w:val="20"/>
              </w:rPr>
            </w:pPr>
            <w:r w:rsidRPr="007B1B70">
              <w:rPr>
                <w:sz w:val="20"/>
              </w:rPr>
              <w:t>globally, and internationally.</w:t>
            </w:r>
          </w:p>
          <w:p w14:paraId="3EFD0FA8" w14:textId="77777777" w:rsidR="007B1B70" w:rsidRDefault="007B1B70" w:rsidP="007B1B70">
            <w:pPr>
              <w:rPr>
                <w:sz w:val="20"/>
              </w:rPr>
            </w:pPr>
          </w:p>
          <w:p w14:paraId="67759DA9" w14:textId="7EB348CE" w:rsidR="007B1B70" w:rsidRPr="007B1B70" w:rsidRDefault="007B1B70" w:rsidP="007B1B70">
            <w:pPr>
              <w:rPr>
                <w:sz w:val="20"/>
              </w:rPr>
            </w:pPr>
            <w:r w:rsidRPr="007B1B70">
              <w:rPr>
                <w:sz w:val="20"/>
              </w:rPr>
              <w:t>Evaluation Process: Students will be assessed</w:t>
            </w:r>
          </w:p>
          <w:p w14:paraId="262E5D46" w14:textId="77777777" w:rsidR="007B1B70" w:rsidRPr="007B1B70" w:rsidRDefault="007B1B70" w:rsidP="007B1B70">
            <w:pPr>
              <w:rPr>
                <w:sz w:val="20"/>
              </w:rPr>
            </w:pPr>
            <w:r w:rsidRPr="007B1B70">
              <w:rPr>
                <w:sz w:val="20"/>
              </w:rPr>
              <w:t>a score on their essay, with a maximum of 100</w:t>
            </w:r>
          </w:p>
          <w:p w14:paraId="5BBD0A17" w14:textId="77777777" w:rsidR="007B1B70" w:rsidRPr="007B1B70" w:rsidRDefault="007B1B70" w:rsidP="007B1B70">
            <w:pPr>
              <w:rPr>
                <w:sz w:val="20"/>
              </w:rPr>
            </w:pPr>
            <w:r w:rsidRPr="007B1B70">
              <w:rPr>
                <w:sz w:val="20"/>
              </w:rPr>
              <w:t>points possible. Up to 20 points will be</w:t>
            </w:r>
          </w:p>
          <w:p w14:paraId="7E38EF04" w14:textId="77777777" w:rsidR="007B1B70" w:rsidRPr="007B1B70" w:rsidRDefault="007B1B70" w:rsidP="007B1B70">
            <w:pPr>
              <w:rPr>
                <w:sz w:val="20"/>
              </w:rPr>
            </w:pPr>
            <w:r w:rsidRPr="007B1B70">
              <w:rPr>
                <w:sz w:val="20"/>
              </w:rPr>
              <w:t>awarded for completion/thoroughness, up to</w:t>
            </w:r>
          </w:p>
          <w:p w14:paraId="69366469" w14:textId="77777777" w:rsidR="007B1B70" w:rsidRPr="007B1B70" w:rsidRDefault="007B1B70" w:rsidP="007B1B70">
            <w:pPr>
              <w:rPr>
                <w:sz w:val="20"/>
              </w:rPr>
            </w:pPr>
            <w:r w:rsidRPr="007B1B70">
              <w:rPr>
                <w:sz w:val="20"/>
              </w:rPr>
              <w:t>20 points for insight in terms of depth of</w:t>
            </w:r>
          </w:p>
          <w:p w14:paraId="66B70900" w14:textId="77777777" w:rsidR="007B1B70" w:rsidRPr="007B1B70" w:rsidRDefault="007B1B70" w:rsidP="007B1B70">
            <w:pPr>
              <w:rPr>
                <w:sz w:val="20"/>
              </w:rPr>
            </w:pPr>
            <w:r w:rsidRPr="007B1B70">
              <w:rPr>
                <w:sz w:val="20"/>
              </w:rPr>
              <w:t>thought, up to 20 points for the organization of</w:t>
            </w:r>
          </w:p>
          <w:p w14:paraId="16E144AE" w14:textId="77777777" w:rsidR="007B1B70" w:rsidRPr="007B1B70" w:rsidRDefault="007B1B70" w:rsidP="007B1B70">
            <w:pPr>
              <w:rPr>
                <w:sz w:val="20"/>
              </w:rPr>
            </w:pPr>
            <w:r w:rsidRPr="007B1B70">
              <w:rPr>
                <w:sz w:val="20"/>
              </w:rPr>
              <w:t>the essay, up to 20 points for spelling and</w:t>
            </w:r>
          </w:p>
          <w:p w14:paraId="5B148E77" w14:textId="77777777" w:rsidR="007B1B70" w:rsidRPr="007B1B70" w:rsidRDefault="007B1B70" w:rsidP="007B1B70">
            <w:pPr>
              <w:rPr>
                <w:sz w:val="20"/>
              </w:rPr>
            </w:pPr>
            <w:r w:rsidRPr="007B1B70">
              <w:rPr>
                <w:sz w:val="20"/>
              </w:rPr>
              <w:t>grammar, and up to 20 points for adherence to</w:t>
            </w:r>
          </w:p>
          <w:p w14:paraId="3EAA6178" w14:textId="77777777" w:rsidR="007B1B70" w:rsidRPr="007B1B70" w:rsidRDefault="007B1B70" w:rsidP="007B1B70">
            <w:pPr>
              <w:rPr>
                <w:sz w:val="20"/>
              </w:rPr>
            </w:pPr>
            <w:r w:rsidRPr="007B1B70">
              <w:rPr>
                <w:sz w:val="20"/>
              </w:rPr>
              <w:t>the requirements/guidelines for the essay.</w:t>
            </w:r>
          </w:p>
          <w:p w14:paraId="31D573B4" w14:textId="77777777" w:rsidR="007B1B70" w:rsidRDefault="007B1B70" w:rsidP="007B1B70">
            <w:pPr>
              <w:rPr>
                <w:sz w:val="20"/>
              </w:rPr>
            </w:pPr>
          </w:p>
          <w:p w14:paraId="296A0433" w14:textId="5BB109E5" w:rsidR="007B1B70" w:rsidRPr="007B1B70" w:rsidRDefault="007B1B70" w:rsidP="007B1B70">
            <w:pPr>
              <w:rPr>
                <w:sz w:val="20"/>
              </w:rPr>
            </w:pPr>
            <w:r w:rsidRPr="007B1B70">
              <w:rPr>
                <w:sz w:val="20"/>
              </w:rPr>
              <w:t>Minimum Criteria for Success: A score of 60</w:t>
            </w:r>
          </w:p>
          <w:p w14:paraId="632FD691" w14:textId="77777777" w:rsidR="007B1B70" w:rsidRPr="007B1B70" w:rsidRDefault="007B1B70" w:rsidP="007B1B70">
            <w:pPr>
              <w:rPr>
                <w:sz w:val="20"/>
              </w:rPr>
            </w:pPr>
            <w:r w:rsidRPr="007B1B70">
              <w:rPr>
                <w:sz w:val="20"/>
              </w:rPr>
              <w:t>out of 100 based on the point breakdown</w:t>
            </w:r>
          </w:p>
          <w:p w14:paraId="3D4761CD" w14:textId="77777777" w:rsidR="007B1B70" w:rsidRPr="007B1B70" w:rsidRDefault="007B1B70" w:rsidP="007B1B70">
            <w:pPr>
              <w:rPr>
                <w:sz w:val="20"/>
              </w:rPr>
            </w:pPr>
            <w:r w:rsidRPr="007B1B70">
              <w:rPr>
                <w:sz w:val="20"/>
              </w:rPr>
              <w:t>above.</w:t>
            </w:r>
          </w:p>
          <w:p w14:paraId="14CEC6E5" w14:textId="77777777" w:rsidR="007B1B70" w:rsidRDefault="007B1B70" w:rsidP="007B1B70">
            <w:pPr>
              <w:rPr>
                <w:sz w:val="20"/>
              </w:rPr>
            </w:pPr>
          </w:p>
          <w:p w14:paraId="20DC2024" w14:textId="0D4E6D96" w:rsidR="00E06F48" w:rsidRDefault="007B1B70" w:rsidP="007B1B70">
            <w:pPr>
              <w:rPr>
                <w:i/>
                <w:color w:val="0070C0"/>
                <w:sz w:val="22"/>
              </w:rPr>
            </w:pPr>
            <w:r w:rsidRPr="007B1B70">
              <w:rPr>
                <w:sz w:val="20"/>
              </w:rPr>
              <w:t>Sample: All students will be assessed.</w:t>
            </w: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4FEFF934" w14:textId="77777777" w:rsidR="007B1B70" w:rsidRPr="007B1B70" w:rsidRDefault="007B1B70" w:rsidP="007B1B70">
            <w:pPr>
              <w:rPr>
                <w:color w:val="000000" w:themeColor="text1"/>
                <w:sz w:val="20"/>
              </w:rPr>
            </w:pPr>
            <w:r w:rsidRPr="007B1B70">
              <w:rPr>
                <w:color w:val="000000" w:themeColor="text1"/>
                <w:sz w:val="20"/>
              </w:rPr>
              <w:t>Students will identify some of the most</w:t>
            </w:r>
          </w:p>
          <w:p w14:paraId="44381875" w14:textId="77777777" w:rsidR="007B1B70" w:rsidRPr="007B1B70" w:rsidRDefault="007B1B70" w:rsidP="007B1B70">
            <w:pPr>
              <w:rPr>
                <w:color w:val="000000" w:themeColor="text1"/>
                <w:sz w:val="20"/>
              </w:rPr>
            </w:pPr>
            <w:r w:rsidRPr="007B1B70">
              <w:rPr>
                <w:color w:val="000000" w:themeColor="text1"/>
                <w:sz w:val="20"/>
              </w:rPr>
              <w:t>salient, interrelated needs and trends of</w:t>
            </w:r>
          </w:p>
          <w:p w14:paraId="370F0ECE" w14:textId="77777777" w:rsidR="007B1B70" w:rsidRPr="007B1B70" w:rsidRDefault="007B1B70" w:rsidP="007B1B70">
            <w:pPr>
              <w:rPr>
                <w:color w:val="000000" w:themeColor="text1"/>
                <w:sz w:val="20"/>
              </w:rPr>
            </w:pPr>
            <w:r w:rsidRPr="007B1B70">
              <w:rPr>
                <w:color w:val="000000" w:themeColor="text1"/>
                <w:sz w:val="20"/>
              </w:rPr>
              <w:t>local, global, and international engineering</w:t>
            </w:r>
          </w:p>
          <w:p w14:paraId="57B7C78E" w14:textId="77777777" w:rsidR="007B1B70" w:rsidRPr="007B1B70" w:rsidRDefault="007B1B70" w:rsidP="007B1B70">
            <w:pPr>
              <w:rPr>
                <w:color w:val="000000" w:themeColor="text1"/>
                <w:sz w:val="20"/>
              </w:rPr>
            </w:pPr>
            <w:r w:rsidRPr="007B1B70">
              <w:rPr>
                <w:color w:val="000000" w:themeColor="text1"/>
                <w:sz w:val="20"/>
              </w:rPr>
              <w:t>stakeholders, both in the U.S. and</w:t>
            </w:r>
          </w:p>
          <w:p w14:paraId="0C2C79FF" w14:textId="406F80CE" w:rsidR="00E06F48" w:rsidRPr="007B1B70" w:rsidRDefault="007B1B70" w:rsidP="007B1B70">
            <w:pPr>
              <w:rPr>
                <w:color w:val="000000" w:themeColor="text1"/>
                <w:sz w:val="20"/>
              </w:rPr>
            </w:pPr>
            <w:r w:rsidRPr="007B1B70">
              <w:rPr>
                <w:color w:val="000000" w:themeColor="text1"/>
                <w:sz w:val="20"/>
              </w:rPr>
              <w:t>throughout the world.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7"/>
        <w:gridCol w:w="5400"/>
        <w:gridCol w:w="3764"/>
      </w:tblGrid>
      <w:tr w:rsidR="00E06F48" w:rsidRPr="00F632F6" w14:paraId="10BBA699" w14:textId="77777777" w:rsidTr="007734FE">
        <w:trPr>
          <w:trHeight w:val="305"/>
          <w:tblHeader/>
        </w:trPr>
        <w:tc>
          <w:tcPr>
            <w:tcW w:w="3667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400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764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 w:rsidTr="007734FE">
        <w:trPr>
          <w:trHeight w:val="1140"/>
        </w:trPr>
        <w:tc>
          <w:tcPr>
            <w:tcW w:w="3667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5400" w:type="dxa"/>
            <w:vMerge w:val="restart"/>
          </w:tcPr>
          <w:p w14:paraId="4065C299" w14:textId="77777777" w:rsidR="007734FE" w:rsidRPr="007734FE" w:rsidRDefault="007734FE" w:rsidP="007734FE">
            <w:pPr>
              <w:rPr>
                <w:sz w:val="20"/>
              </w:rPr>
            </w:pPr>
            <w:r w:rsidRPr="007734FE">
              <w:rPr>
                <w:sz w:val="20"/>
              </w:rPr>
              <w:t>Assessment Activity/Artifact:</w:t>
            </w:r>
          </w:p>
          <w:p w14:paraId="129D3F38" w14:textId="2D22D135" w:rsidR="007734FE" w:rsidRPr="007734FE" w:rsidRDefault="007734FE" w:rsidP="007734FE">
            <w:pPr>
              <w:rPr>
                <w:sz w:val="20"/>
              </w:rPr>
            </w:pPr>
            <w:r w:rsidRPr="007734FE">
              <w:rPr>
                <w:sz w:val="20"/>
              </w:rPr>
              <w:t>A reflective essay in regard to how students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perceive of the 14 Grand Challenges in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Engineering, as outlined by the National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Academy of Engineering. Students will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respond to questions that include, How would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you as a new engineer incorporate a possible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interest in the Grand Challenge that appeals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to you into your work after graduating?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What are practical steps that you can take if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you might be interested in pursuing more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global work with this specific Grand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Challenge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in the future?</w:t>
            </w:r>
          </w:p>
          <w:p w14:paraId="2BC7CB83" w14:textId="77777777" w:rsidR="007734FE" w:rsidRDefault="007734FE" w:rsidP="007734FE">
            <w:pPr>
              <w:rPr>
                <w:sz w:val="20"/>
              </w:rPr>
            </w:pPr>
          </w:p>
          <w:p w14:paraId="5DE0DA78" w14:textId="0E3F016D" w:rsidR="007734FE" w:rsidRPr="007734FE" w:rsidRDefault="007734FE" w:rsidP="007734FE">
            <w:pPr>
              <w:rPr>
                <w:sz w:val="20"/>
              </w:rPr>
            </w:pPr>
            <w:r w:rsidRPr="007734FE">
              <w:rPr>
                <w:sz w:val="20"/>
              </w:rPr>
              <w:t>Evaluation Process: Students will be assessed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a score on their essay, with a maximum of 100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points possible. Up to 20 points will be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awarded for completion/thoroughness, up to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20 points for insight in terms of depth of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thought, up to 20 points for the organization of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the essay, up to 20 points for spelling and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grammar, and up to 20 points for adherence to</w:t>
            </w:r>
            <w:r w:rsidR="00C25362"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the requirements/guidelines for the essay.</w:t>
            </w:r>
          </w:p>
          <w:p w14:paraId="1C769051" w14:textId="77777777" w:rsidR="007734FE" w:rsidRDefault="007734FE" w:rsidP="007734FE">
            <w:pPr>
              <w:rPr>
                <w:sz w:val="20"/>
              </w:rPr>
            </w:pPr>
          </w:p>
          <w:p w14:paraId="469F82FA" w14:textId="1BC66EE7" w:rsidR="00E06F48" w:rsidRDefault="007734FE" w:rsidP="007734FE">
            <w:pPr>
              <w:rPr>
                <w:sz w:val="20"/>
              </w:rPr>
            </w:pPr>
            <w:r w:rsidRPr="007734FE">
              <w:rPr>
                <w:sz w:val="20"/>
              </w:rPr>
              <w:t>Minimum Criteria for Success: A score of 60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out of 100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based on the point breakdown</w:t>
            </w:r>
            <w:r>
              <w:rPr>
                <w:sz w:val="20"/>
              </w:rPr>
              <w:t xml:space="preserve"> </w:t>
            </w:r>
            <w:r w:rsidRPr="007734FE">
              <w:rPr>
                <w:sz w:val="20"/>
              </w:rPr>
              <w:t>above.</w:t>
            </w:r>
          </w:p>
          <w:p w14:paraId="433A0C4E" w14:textId="24F6EC05" w:rsidR="007734FE" w:rsidRDefault="007734FE" w:rsidP="007734FE">
            <w:pPr>
              <w:rPr>
                <w:i/>
                <w:color w:val="0070C0"/>
                <w:sz w:val="22"/>
              </w:rPr>
            </w:pPr>
          </w:p>
          <w:p w14:paraId="3DA3F338" w14:textId="77777777" w:rsidR="007734FE" w:rsidRDefault="007734FE" w:rsidP="007734FE">
            <w:pPr>
              <w:rPr>
                <w:i/>
                <w:color w:val="0070C0"/>
                <w:sz w:val="22"/>
              </w:rPr>
            </w:pPr>
            <w:r w:rsidRPr="007B1B70">
              <w:rPr>
                <w:sz w:val="20"/>
              </w:rPr>
              <w:t>Sample: All students will be assessed.</w:t>
            </w: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3764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 w:rsidTr="007734FE">
        <w:trPr>
          <w:trHeight w:val="260"/>
        </w:trPr>
        <w:tc>
          <w:tcPr>
            <w:tcW w:w="3667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5400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764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 w:rsidTr="007734FE">
        <w:trPr>
          <w:trHeight w:val="2393"/>
        </w:trPr>
        <w:tc>
          <w:tcPr>
            <w:tcW w:w="3667" w:type="dxa"/>
          </w:tcPr>
          <w:p w14:paraId="3E541137" w14:textId="1568CCA4" w:rsidR="00E06F48" w:rsidRPr="007734FE" w:rsidRDefault="007734FE" w:rsidP="007734FE">
            <w:pPr>
              <w:rPr>
                <w:color w:val="000000" w:themeColor="text1"/>
                <w:sz w:val="20"/>
              </w:rPr>
            </w:pPr>
            <w:r w:rsidRPr="007734FE">
              <w:rPr>
                <w:color w:val="000000" w:themeColor="text1"/>
                <w:sz w:val="20"/>
              </w:rPr>
              <w:t xml:space="preserve">Students will develop well-articulated, </w:t>
            </w:r>
            <w:proofErr w:type="spellStart"/>
            <w:r w:rsidRPr="007734FE">
              <w:rPr>
                <w:color w:val="000000" w:themeColor="text1"/>
                <w:sz w:val="20"/>
              </w:rPr>
              <w:t>multiperspective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r w:rsidRPr="007734FE">
              <w:rPr>
                <w:color w:val="000000" w:themeColor="text1"/>
                <w:sz w:val="20"/>
              </w:rPr>
              <w:t>approaches to one or more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734FE">
              <w:rPr>
                <w:color w:val="000000" w:themeColor="text1"/>
                <w:sz w:val="20"/>
              </w:rPr>
              <w:t>technical or scientific local, global,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734FE">
              <w:rPr>
                <w:color w:val="000000" w:themeColor="text1"/>
                <w:sz w:val="20"/>
              </w:rPr>
              <w:t>international, and intercultural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734FE">
              <w:rPr>
                <w:color w:val="000000" w:themeColor="text1"/>
                <w:sz w:val="20"/>
              </w:rPr>
              <w:t>challenges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734FE">
              <w:rPr>
                <w:color w:val="000000" w:themeColor="text1"/>
                <w:sz w:val="20"/>
              </w:rPr>
              <w:t>that require global and diverse perspectives.</w:t>
            </w:r>
          </w:p>
        </w:tc>
        <w:tc>
          <w:tcPr>
            <w:tcW w:w="5400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764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6660"/>
        <w:gridCol w:w="2864"/>
      </w:tblGrid>
      <w:tr w:rsidR="00E06F48" w:rsidRPr="00F632F6" w14:paraId="7CEE1F7C" w14:textId="77777777" w:rsidTr="00637E29">
        <w:trPr>
          <w:trHeight w:val="305"/>
          <w:tblHeader/>
        </w:trPr>
        <w:tc>
          <w:tcPr>
            <w:tcW w:w="3307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6660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2864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 w:rsidTr="00637E29">
        <w:trPr>
          <w:trHeight w:val="1140"/>
        </w:trPr>
        <w:tc>
          <w:tcPr>
            <w:tcW w:w="3307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6660" w:type="dxa"/>
            <w:vMerge w:val="restart"/>
          </w:tcPr>
          <w:p w14:paraId="590F22B9" w14:textId="4129763C" w:rsidR="00E06F48" w:rsidRPr="00637E29" w:rsidRDefault="00E06F48" w:rsidP="00351663">
            <w:pPr>
              <w:rPr>
                <w:sz w:val="18"/>
              </w:rPr>
            </w:pPr>
            <w:r w:rsidRPr="00637E29">
              <w:rPr>
                <w:sz w:val="18"/>
              </w:rPr>
              <w:t>Assessment Activity/Artifact:</w:t>
            </w:r>
          </w:p>
          <w:p w14:paraId="5E17D9C3" w14:textId="5409F757" w:rsidR="00637E29" w:rsidRPr="00637E29" w:rsidRDefault="00637E29" w:rsidP="00C25362">
            <w:pPr>
              <w:rPr>
                <w:sz w:val="18"/>
              </w:rPr>
            </w:pPr>
            <w:r w:rsidRPr="00637E29">
              <w:rPr>
                <w:sz w:val="18"/>
              </w:rPr>
              <w:t>An individual video reflection and series of group video reflections, in which individuals and combined groups of PUC/FIU students talk about their specific challenge, and how their efforts to develop this habit are progressing over time.</w:t>
            </w:r>
          </w:p>
          <w:p w14:paraId="72B62599" w14:textId="77777777" w:rsidR="00087B42" w:rsidRDefault="00C25362" w:rsidP="00C25362">
            <w:pPr>
              <w:rPr>
                <w:sz w:val="18"/>
              </w:rPr>
            </w:pPr>
            <w:r w:rsidRPr="00637E29">
              <w:rPr>
                <w:sz w:val="18"/>
              </w:rPr>
              <w:t>Students will complete an activity called the 21</w:t>
            </w:r>
            <w:r w:rsidR="00637E29" w:rsidRPr="00637E29">
              <w:rPr>
                <w:sz w:val="18"/>
              </w:rPr>
              <w:t xml:space="preserve"> </w:t>
            </w:r>
            <w:r w:rsidRPr="00637E29">
              <w:rPr>
                <w:sz w:val="18"/>
              </w:rPr>
              <w:t>Day Challenge in collaboration with engineering students from the Pontifical Catholic</w:t>
            </w:r>
            <w:r w:rsidR="00637E29" w:rsidRPr="00637E29">
              <w:rPr>
                <w:sz w:val="18"/>
              </w:rPr>
              <w:t xml:space="preserve"> </w:t>
            </w:r>
            <w:r w:rsidRPr="00637E29">
              <w:rPr>
                <w:sz w:val="18"/>
              </w:rPr>
              <w:t xml:space="preserve">University of Chile (PUC). </w:t>
            </w:r>
          </w:p>
          <w:p w14:paraId="6DDD4340" w14:textId="77777777" w:rsidR="00087B42" w:rsidRDefault="00087B42" w:rsidP="00C25362">
            <w:pPr>
              <w:rPr>
                <w:sz w:val="18"/>
              </w:rPr>
            </w:pPr>
          </w:p>
          <w:p w14:paraId="6EA9A42D" w14:textId="50CD4502" w:rsidR="00C25362" w:rsidRPr="00637E29" w:rsidRDefault="00C25362" w:rsidP="00C25362">
            <w:pPr>
              <w:rPr>
                <w:sz w:val="18"/>
              </w:rPr>
            </w:pPr>
            <w:bookmarkStart w:id="0" w:name="_GoBack"/>
            <w:bookmarkEnd w:id="0"/>
            <w:r w:rsidRPr="00637E29">
              <w:rPr>
                <w:sz w:val="18"/>
              </w:rPr>
              <w:t>The 21 Day Challenge asks students to</w:t>
            </w:r>
            <w:r w:rsidR="00637E29" w:rsidRPr="00637E29">
              <w:rPr>
                <w:sz w:val="18"/>
              </w:rPr>
              <w:t xml:space="preserve"> </w:t>
            </w:r>
            <w:r w:rsidRPr="00637E29">
              <w:rPr>
                <w:sz w:val="18"/>
              </w:rPr>
              <w:t>explore a habit that they would like to develop over a</w:t>
            </w:r>
            <w:r w:rsidR="00637E29" w:rsidRPr="00637E29">
              <w:rPr>
                <w:sz w:val="18"/>
              </w:rPr>
              <w:t xml:space="preserve"> </w:t>
            </w:r>
            <w:r w:rsidRPr="00637E29">
              <w:rPr>
                <w:sz w:val="18"/>
              </w:rPr>
              <w:t>three-week period, and that habit should be one that will allow them to be more</w:t>
            </w:r>
            <w:r w:rsidR="00637E29" w:rsidRPr="00637E29">
              <w:rPr>
                <w:sz w:val="18"/>
              </w:rPr>
              <w:t xml:space="preserve"> </w:t>
            </w:r>
            <w:r w:rsidRPr="00637E29">
              <w:rPr>
                <w:sz w:val="18"/>
              </w:rPr>
              <w:t>academically/professionally engaged with engineering collaborators in</w:t>
            </w:r>
            <w:r w:rsidR="00637E29" w:rsidRPr="00637E29">
              <w:rPr>
                <w:sz w:val="18"/>
              </w:rPr>
              <w:t xml:space="preserve"> </w:t>
            </w:r>
            <w:r w:rsidRPr="00637E29">
              <w:rPr>
                <w:sz w:val="18"/>
              </w:rPr>
              <w:t>Chile. At the same time, the students in Chile will be asked to develop</w:t>
            </w:r>
            <w:r w:rsidR="00637E29" w:rsidRPr="00637E29">
              <w:rPr>
                <w:sz w:val="18"/>
              </w:rPr>
              <w:t xml:space="preserve"> </w:t>
            </w:r>
            <w:r w:rsidRPr="00637E29">
              <w:rPr>
                <w:sz w:val="18"/>
              </w:rPr>
              <w:t>a habit that will allow them to be more academically/professionally</w:t>
            </w:r>
            <w:r w:rsidR="00637E29" w:rsidRPr="00637E29">
              <w:rPr>
                <w:sz w:val="18"/>
              </w:rPr>
              <w:t xml:space="preserve"> </w:t>
            </w:r>
            <w:r w:rsidRPr="00637E29">
              <w:rPr>
                <w:sz w:val="18"/>
              </w:rPr>
              <w:t>engaged with engineering collaborators from the US.</w:t>
            </w:r>
          </w:p>
          <w:p w14:paraId="38EE3BAF" w14:textId="77777777" w:rsidR="00E06F48" w:rsidRPr="00637E29" w:rsidRDefault="00E06F48" w:rsidP="00351663">
            <w:pPr>
              <w:rPr>
                <w:sz w:val="18"/>
              </w:rPr>
            </w:pPr>
          </w:p>
          <w:p w14:paraId="73DF894B" w14:textId="77777777" w:rsidR="00637E29" w:rsidRPr="00637E29" w:rsidRDefault="00E06F48" w:rsidP="00637E29">
            <w:pPr>
              <w:rPr>
                <w:sz w:val="18"/>
              </w:rPr>
            </w:pPr>
            <w:r w:rsidRPr="00637E29">
              <w:rPr>
                <w:sz w:val="18"/>
              </w:rPr>
              <w:t>Evaluation Process:</w:t>
            </w:r>
            <w:r w:rsidR="00C25362" w:rsidRPr="00637E29">
              <w:rPr>
                <w:sz w:val="18"/>
              </w:rPr>
              <w:t xml:space="preserve"> </w:t>
            </w:r>
          </w:p>
          <w:p w14:paraId="663406BD" w14:textId="77777777" w:rsidR="00637E29" w:rsidRPr="00637E29" w:rsidRDefault="00637E29" w:rsidP="00637E29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637E29">
              <w:rPr>
                <w:sz w:val="18"/>
              </w:rPr>
              <w:t>Daily reports, as noted above. This will be associated with the 25% of your grade that comes from “other out of class assignments,” as outlined in the syllabus.</w:t>
            </w:r>
          </w:p>
          <w:p w14:paraId="21A33B06" w14:textId="26AE8C11" w:rsidR="00E06F48" w:rsidRPr="00637E29" w:rsidRDefault="00637E29" w:rsidP="00351663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637E29">
              <w:rPr>
                <w:sz w:val="18"/>
              </w:rPr>
              <w:t>Documented written and video group discussions. Written group discussions should be documented via the team’s online group platform. Video group discussions should be recorded on Zoom (either as a video file or a URL to a video) and uploaded onto your team’s online platform. This will be associated with the 25% of your grade that comes from “other out</w:t>
            </w:r>
          </w:p>
          <w:p w14:paraId="0E1C188B" w14:textId="77777777" w:rsidR="00E06F48" w:rsidRPr="00637E29" w:rsidRDefault="00E06F48" w:rsidP="00351663">
            <w:pPr>
              <w:rPr>
                <w:sz w:val="18"/>
              </w:rPr>
            </w:pPr>
          </w:p>
          <w:p w14:paraId="200F8166" w14:textId="63B6ABE2" w:rsidR="00E06F48" w:rsidRPr="00637E29" w:rsidRDefault="00E06F48" w:rsidP="00637E29">
            <w:pPr>
              <w:rPr>
                <w:sz w:val="18"/>
              </w:rPr>
            </w:pPr>
            <w:r w:rsidRPr="00637E29">
              <w:rPr>
                <w:sz w:val="18"/>
              </w:rPr>
              <w:t>Minimum Criteria for Success:</w:t>
            </w:r>
            <w:r w:rsidR="00637E29" w:rsidRPr="00637E29">
              <w:rPr>
                <w:sz w:val="18"/>
              </w:rPr>
              <w:t xml:space="preserve"> A minimum of 60 points out of 100 points on each of the three criteria listed above.</w:t>
            </w:r>
          </w:p>
          <w:p w14:paraId="0DE3EEE4" w14:textId="77777777" w:rsidR="00E06F48" w:rsidRPr="00637E29" w:rsidRDefault="00E06F48" w:rsidP="00351663">
            <w:pPr>
              <w:rPr>
                <w:i/>
                <w:color w:val="0070C0"/>
                <w:sz w:val="18"/>
              </w:rPr>
            </w:pPr>
          </w:p>
          <w:p w14:paraId="7C505A38" w14:textId="07A7FFEA" w:rsidR="00E06F48" w:rsidRPr="00637E29" w:rsidRDefault="00E06F48" w:rsidP="00351663">
            <w:pPr>
              <w:rPr>
                <w:sz w:val="18"/>
              </w:rPr>
            </w:pPr>
            <w:r w:rsidRPr="00637E29">
              <w:rPr>
                <w:sz w:val="18"/>
              </w:rPr>
              <w:t>Sample:</w:t>
            </w:r>
            <w:r w:rsidR="002166E5" w:rsidRPr="00637E29">
              <w:rPr>
                <w:sz w:val="18"/>
              </w:rPr>
              <w:t xml:space="preserve"> All students will be assessed.</w:t>
            </w: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2864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 w:rsidTr="00637E29">
        <w:trPr>
          <w:trHeight w:val="260"/>
        </w:trPr>
        <w:tc>
          <w:tcPr>
            <w:tcW w:w="3307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6660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864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 w:rsidTr="00637E29">
        <w:trPr>
          <w:trHeight w:val="2393"/>
        </w:trPr>
        <w:tc>
          <w:tcPr>
            <w:tcW w:w="3307" w:type="dxa"/>
          </w:tcPr>
          <w:p w14:paraId="682335C2" w14:textId="77777777" w:rsidR="00C25362" w:rsidRPr="00C25362" w:rsidRDefault="00C25362" w:rsidP="00C25362">
            <w:pPr>
              <w:rPr>
                <w:color w:val="000000" w:themeColor="text1"/>
                <w:sz w:val="20"/>
              </w:rPr>
            </w:pPr>
            <w:r w:rsidRPr="00C25362">
              <w:rPr>
                <w:color w:val="000000" w:themeColor="text1"/>
                <w:sz w:val="20"/>
              </w:rPr>
              <w:t>Students will demonstrate an understanding</w:t>
            </w:r>
          </w:p>
          <w:p w14:paraId="29D240E0" w14:textId="77777777" w:rsidR="00C25362" w:rsidRPr="00C25362" w:rsidRDefault="00C25362" w:rsidP="00C25362">
            <w:pPr>
              <w:rPr>
                <w:color w:val="000000" w:themeColor="text1"/>
                <w:sz w:val="20"/>
              </w:rPr>
            </w:pPr>
            <w:r w:rsidRPr="00C25362">
              <w:rPr>
                <w:color w:val="000000" w:themeColor="text1"/>
                <w:sz w:val="20"/>
              </w:rPr>
              <w:t>of engineering cultural norms specific to one</w:t>
            </w:r>
          </w:p>
          <w:p w14:paraId="020F8C59" w14:textId="77777777" w:rsidR="00C25362" w:rsidRPr="00C25362" w:rsidRDefault="00C25362" w:rsidP="00C25362">
            <w:pPr>
              <w:rPr>
                <w:color w:val="000000" w:themeColor="text1"/>
                <w:sz w:val="20"/>
              </w:rPr>
            </w:pPr>
            <w:r w:rsidRPr="00C25362">
              <w:rPr>
                <w:color w:val="000000" w:themeColor="text1"/>
                <w:sz w:val="20"/>
              </w:rPr>
              <w:t>or more engineering post-secondary</w:t>
            </w:r>
          </w:p>
          <w:p w14:paraId="1E1E0D1C" w14:textId="2987E3F0" w:rsidR="00E06F48" w:rsidRPr="00C25362" w:rsidRDefault="00C25362" w:rsidP="00C25362">
            <w:pPr>
              <w:rPr>
                <w:color w:val="0070C0"/>
                <w:sz w:val="20"/>
              </w:rPr>
            </w:pPr>
            <w:r w:rsidRPr="00C25362">
              <w:rPr>
                <w:color w:val="000000" w:themeColor="text1"/>
                <w:sz w:val="20"/>
              </w:rPr>
              <w:t>institutions located in a different country.</w:t>
            </w:r>
          </w:p>
        </w:tc>
        <w:tc>
          <w:tcPr>
            <w:tcW w:w="6660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864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F1EA5" w14:textId="77777777" w:rsidR="006D1BCE" w:rsidRDefault="006D1BCE">
      <w:r>
        <w:separator/>
      </w:r>
    </w:p>
  </w:endnote>
  <w:endnote w:type="continuationSeparator" w:id="0">
    <w:p w14:paraId="055CF84B" w14:textId="77777777" w:rsidR="006D1BCE" w:rsidRDefault="006D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033DC1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5611D" w14:textId="77777777" w:rsidR="006D1BCE" w:rsidRDefault="006D1BCE">
      <w:r>
        <w:separator/>
      </w:r>
    </w:p>
  </w:footnote>
  <w:footnote w:type="continuationSeparator" w:id="0">
    <w:p w14:paraId="752B828F" w14:textId="77777777" w:rsidR="006D1BCE" w:rsidRDefault="006D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539E8D8F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7B1B70">
      <w:rPr>
        <w:color w:val="000000" w:themeColor="text1"/>
        <w:sz w:val="20"/>
      </w:rPr>
      <w:t>EGS 3060 Engineering Professional Development for a Global Society</w:t>
    </w:r>
    <w:r w:rsidRPr="00581F94">
      <w:rPr>
        <w:sz w:val="20"/>
      </w:rPr>
      <w:tab/>
    </w:r>
  </w:p>
  <w:p w14:paraId="2BB58D01" w14:textId="3BC780FD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7B1B70">
      <w:rPr>
        <w:sz w:val="20"/>
      </w:rPr>
      <w:t>SUCCEED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Degree Program:</w:t>
    </w:r>
    <w:r w:rsidR="007B1B70">
      <w:rPr>
        <w:sz w:val="20"/>
      </w:rPr>
      <w:t xml:space="preserve"> BS in Interdisciplinary Engineering</w:t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76CC"/>
    <w:multiLevelType w:val="hybridMultilevel"/>
    <w:tmpl w:val="D328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50"/>
    <w:rsid w:val="00006426"/>
    <w:rsid w:val="00033DC1"/>
    <w:rsid w:val="00087B42"/>
    <w:rsid w:val="000C4B42"/>
    <w:rsid w:val="002166E5"/>
    <w:rsid w:val="00227E3F"/>
    <w:rsid w:val="002434C6"/>
    <w:rsid w:val="00327B81"/>
    <w:rsid w:val="00345845"/>
    <w:rsid w:val="00351663"/>
    <w:rsid w:val="003E132D"/>
    <w:rsid w:val="003F3DB7"/>
    <w:rsid w:val="00445D50"/>
    <w:rsid w:val="004C31FD"/>
    <w:rsid w:val="00521FFD"/>
    <w:rsid w:val="00581F94"/>
    <w:rsid w:val="005C58EB"/>
    <w:rsid w:val="00637E29"/>
    <w:rsid w:val="006A06CE"/>
    <w:rsid w:val="006D1BCE"/>
    <w:rsid w:val="006F77DC"/>
    <w:rsid w:val="007505D0"/>
    <w:rsid w:val="007734FE"/>
    <w:rsid w:val="007821C4"/>
    <w:rsid w:val="00795F81"/>
    <w:rsid w:val="007B1B70"/>
    <w:rsid w:val="007D21C5"/>
    <w:rsid w:val="008E2DC9"/>
    <w:rsid w:val="00917914"/>
    <w:rsid w:val="00943D59"/>
    <w:rsid w:val="00AE165F"/>
    <w:rsid w:val="00B41437"/>
    <w:rsid w:val="00B95595"/>
    <w:rsid w:val="00C25362"/>
    <w:rsid w:val="00C85AD3"/>
    <w:rsid w:val="00D46EE4"/>
    <w:rsid w:val="00D752D6"/>
    <w:rsid w:val="00DA5804"/>
    <w:rsid w:val="00DC61D0"/>
    <w:rsid w:val="00E06F48"/>
    <w:rsid w:val="00E6631C"/>
    <w:rsid w:val="00F0466B"/>
    <w:rsid w:val="00F45ECC"/>
    <w:rsid w:val="00FD39AF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734FE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63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6</cp:revision>
  <cp:lastPrinted>2010-06-30T14:21:00Z</cp:lastPrinted>
  <dcterms:created xsi:type="dcterms:W3CDTF">2021-12-21T17:17:00Z</dcterms:created>
  <dcterms:modified xsi:type="dcterms:W3CDTF">2021-12-21T17:54:00Z</dcterms:modified>
</cp:coreProperties>
</file>