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:rsidTr="00795F81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795F81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7D182A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60509A" w:rsidRDefault="0060509A" w:rsidP="0060509A">
            <w:pPr>
              <w:rPr>
                <w:sz w:val="20"/>
              </w:rPr>
            </w:pPr>
            <w:r>
              <w:rPr>
                <w:sz w:val="20"/>
              </w:rPr>
              <w:t>Construction Project Case Study</w:t>
            </w:r>
          </w:p>
          <w:p w:rsidR="0060509A" w:rsidRDefault="0060509A" w:rsidP="0060509A">
            <w:pPr>
              <w:rPr>
                <w:sz w:val="20"/>
              </w:rPr>
            </w:pPr>
          </w:p>
          <w:p w:rsidR="0060509A" w:rsidRPr="007D182A" w:rsidRDefault="0060509A" w:rsidP="0060509A">
            <w:pPr>
              <w:rPr>
                <w:sz w:val="20"/>
              </w:rPr>
            </w:pPr>
            <w:r>
              <w:rPr>
                <w:sz w:val="20"/>
              </w:rPr>
              <w:t>As part of the case study, students will be able to understand the interconnectedness of construction management issues across the globe.</w:t>
            </w:r>
          </w:p>
          <w:p w:rsidR="0060509A" w:rsidRDefault="0060509A" w:rsidP="0060509A">
            <w:pPr>
              <w:rPr>
                <w:sz w:val="20"/>
              </w:rPr>
            </w:pPr>
          </w:p>
          <w:p w:rsidR="0060509A" w:rsidRDefault="0060509A" w:rsidP="0060509A">
            <w:pPr>
              <w:rPr>
                <w:sz w:val="20"/>
              </w:rPr>
            </w:pPr>
          </w:p>
          <w:p w:rsidR="0060509A" w:rsidRPr="00905CCE" w:rsidRDefault="0060509A" w:rsidP="0060509A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60509A" w:rsidRDefault="0060509A" w:rsidP="0060509A">
            <w:pPr>
              <w:rPr>
                <w:sz w:val="20"/>
              </w:rPr>
            </w:pPr>
            <w:r>
              <w:rPr>
                <w:sz w:val="20"/>
              </w:rPr>
              <w:t>5-point Rubric</w:t>
            </w:r>
          </w:p>
          <w:p w:rsidR="0060509A" w:rsidRDefault="0060509A" w:rsidP="0060509A">
            <w:pPr>
              <w:rPr>
                <w:sz w:val="20"/>
              </w:rPr>
            </w:pPr>
          </w:p>
          <w:p w:rsidR="0060509A" w:rsidRDefault="0060509A" w:rsidP="0060509A">
            <w:pPr>
              <w:rPr>
                <w:sz w:val="20"/>
              </w:rPr>
            </w:pPr>
          </w:p>
          <w:p w:rsidR="0060509A" w:rsidRPr="00905CCE" w:rsidRDefault="0060509A" w:rsidP="0060509A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60509A" w:rsidRPr="00243FA8" w:rsidRDefault="0060509A" w:rsidP="0060509A">
            <w:pPr>
              <w:rPr>
                <w:sz w:val="20"/>
              </w:rPr>
            </w:pPr>
            <w:r>
              <w:rPr>
                <w:sz w:val="20"/>
              </w:rPr>
              <w:t>3 or better on a 5-point Rubric</w:t>
            </w:r>
          </w:p>
          <w:p w:rsidR="0060509A" w:rsidRDefault="0060509A" w:rsidP="0060509A">
            <w:pPr>
              <w:rPr>
                <w:sz w:val="20"/>
              </w:rPr>
            </w:pPr>
          </w:p>
          <w:p w:rsidR="0060509A" w:rsidRDefault="0060509A" w:rsidP="0060509A">
            <w:pPr>
              <w:rPr>
                <w:sz w:val="20"/>
              </w:rPr>
            </w:pPr>
          </w:p>
          <w:p w:rsidR="0060509A" w:rsidRDefault="0060509A" w:rsidP="0060509A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60509A" w:rsidRPr="000C6750" w:rsidRDefault="0060509A" w:rsidP="0060509A">
            <w:pPr>
              <w:rPr>
                <w:sz w:val="20"/>
                <w:szCs w:val="20"/>
              </w:rPr>
            </w:pPr>
            <w:r w:rsidRPr="000C6750">
              <w:rPr>
                <w:sz w:val="20"/>
                <w:szCs w:val="20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6512D0" w:rsidRDefault="00794823" w:rsidP="00794823">
            <w:pPr>
              <w:rPr>
                <w:sz w:val="20"/>
                <w:szCs w:val="20"/>
              </w:rPr>
            </w:pPr>
            <w:r w:rsidRPr="00A80501">
              <w:rPr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BD24C6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393"/>
        </w:trPr>
        <w:tc>
          <w:tcPr>
            <w:tcW w:w="4145" w:type="dxa"/>
          </w:tcPr>
          <w:p w:rsidR="00E06F48" w:rsidRPr="00471BA5" w:rsidRDefault="001C5E47" w:rsidP="001C5E47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71BA5" w:rsidRPr="00471BA5">
              <w:rPr>
                <w:sz w:val="20"/>
                <w:szCs w:val="20"/>
              </w:rPr>
              <w:t>tudents will be able to demonstrate an understanding of the interrelatedness of local, international, and intercultural issues that present themselves</w:t>
            </w:r>
            <w:r w:rsidR="00E15F95">
              <w:rPr>
                <w:sz w:val="20"/>
                <w:szCs w:val="20"/>
              </w:rPr>
              <w:t xml:space="preserve"> during </w:t>
            </w:r>
            <w:r>
              <w:rPr>
                <w:sz w:val="20"/>
                <w:szCs w:val="20"/>
              </w:rPr>
              <w:t>the implementation of construction projects involving collaborators from various countries around the world.</w:t>
            </w:r>
            <w:r w:rsidR="00471BA5" w:rsidRPr="00471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60"/>
        </w:trPr>
        <w:tc>
          <w:tcPr>
            <w:tcW w:w="12831" w:type="dxa"/>
            <w:gridSpan w:val="3"/>
          </w:tcPr>
          <w:p w:rsidR="00E06F48" w:rsidRPr="00471BA5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</w:rPr>
            </w:pPr>
            <w:r w:rsidRPr="00471BA5">
              <w:rPr>
                <w:rFonts w:cs="Arial"/>
                <w:b/>
              </w:rPr>
              <w:t>Use of Results for Improving Student Learning</w:t>
            </w:r>
          </w:p>
        </w:tc>
      </w:tr>
      <w:tr w:rsidR="00E06F48" w:rsidRPr="00F632F6" w:rsidTr="0090133C">
        <w:trPr>
          <w:trHeight w:val="917"/>
        </w:trPr>
        <w:tc>
          <w:tcPr>
            <w:tcW w:w="12831" w:type="dxa"/>
            <w:gridSpan w:val="3"/>
          </w:tcPr>
          <w:p w:rsidR="00BD24C6" w:rsidRPr="00C01161" w:rsidRDefault="00BD24C6" w:rsidP="00BD24C6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60509A" w:rsidRDefault="0060509A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60509A" w:rsidRDefault="0060509A" w:rsidP="00351663">
            <w:pPr>
              <w:rPr>
                <w:i/>
                <w:color w:val="0070C0"/>
                <w:sz w:val="20"/>
              </w:rPr>
            </w:pPr>
          </w:p>
          <w:p w:rsidR="0060509A" w:rsidRDefault="0060509A" w:rsidP="00351663">
            <w:pPr>
              <w:rPr>
                <w:i/>
                <w:color w:val="0070C0"/>
                <w:sz w:val="20"/>
              </w:rPr>
            </w:pPr>
          </w:p>
          <w:p w:rsidR="0060509A" w:rsidRDefault="0060509A" w:rsidP="00351663">
            <w:pPr>
              <w:rPr>
                <w:i/>
                <w:color w:val="0070C0"/>
                <w:sz w:val="20"/>
              </w:rPr>
            </w:pPr>
          </w:p>
          <w:p w:rsidR="00313AEE" w:rsidRDefault="00313AEE" w:rsidP="00351663">
            <w:pPr>
              <w:rPr>
                <w:i/>
                <w:color w:val="0070C0"/>
                <w:sz w:val="20"/>
              </w:rPr>
            </w:pPr>
          </w:p>
          <w:p w:rsidR="0060509A" w:rsidRPr="00C01161" w:rsidRDefault="0060509A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:rsidTr="00795F81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795F81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BD24C6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4A487C" w:rsidRDefault="004A487C" w:rsidP="004E7C4D">
            <w:pPr>
              <w:rPr>
                <w:sz w:val="20"/>
              </w:rPr>
            </w:pPr>
            <w:r>
              <w:rPr>
                <w:sz w:val="20"/>
              </w:rPr>
              <w:t>Construction Project Case Study</w:t>
            </w:r>
          </w:p>
          <w:p w:rsidR="004E7C4D" w:rsidRDefault="004E7C4D" w:rsidP="004E7C4D">
            <w:pPr>
              <w:rPr>
                <w:sz w:val="20"/>
              </w:rPr>
            </w:pPr>
          </w:p>
          <w:p w:rsidR="004E7C4D" w:rsidRPr="007D182A" w:rsidRDefault="004E7C4D" w:rsidP="004E7C4D">
            <w:pPr>
              <w:rPr>
                <w:sz w:val="20"/>
              </w:rPr>
            </w:pPr>
            <w:r>
              <w:rPr>
                <w:sz w:val="20"/>
              </w:rPr>
              <w:t>As part of the case study, students will identify culturally based problems that are resolved during the implementation of the project.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243FA8" w:rsidRPr="00905CCE" w:rsidRDefault="00243FA8" w:rsidP="00351663">
            <w:pPr>
              <w:rPr>
                <w:sz w:val="20"/>
              </w:rPr>
            </w:pPr>
          </w:p>
          <w:p w:rsidR="00243FA8" w:rsidRDefault="00243FA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4A487C" w:rsidRDefault="004A487C" w:rsidP="00243FA8">
            <w:pPr>
              <w:rPr>
                <w:sz w:val="20"/>
              </w:rPr>
            </w:pPr>
            <w:r>
              <w:rPr>
                <w:sz w:val="20"/>
              </w:rPr>
              <w:t>5-point Rubric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243FA8" w:rsidRDefault="00243FA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E06F48" w:rsidRPr="00243FA8" w:rsidRDefault="004A487C" w:rsidP="00351663">
            <w:pPr>
              <w:rPr>
                <w:sz w:val="20"/>
              </w:rPr>
            </w:pPr>
            <w:r>
              <w:rPr>
                <w:sz w:val="20"/>
              </w:rPr>
              <w:t>3 or better on a 5-point Rubric</w:t>
            </w:r>
          </w:p>
          <w:p w:rsidR="00243FA8" w:rsidRDefault="00243FA8" w:rsidP="00351663">
            <w:pPr>
              <w:rPr>
                <w:sz w:val="20"/>
              </w:rPr>
            </w:pPr>
          </w:p>
          <w:p w:rsidR="00243FA8" w:rsidRDefault="00243FA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0C6750" w:rsidRPr="000C6750" w:rsidRDefault="000C6750" w:rsidP="000C6750">
            <w:pPr>
              <w:rPr>
                <w:sz w:val="20"/>
                <w:szCs w:val="20"/>
              </w:rPr>
            </w:pPr>
            <w:r w:rsidRPr="000C6750">
              <w:rPr>
                <w:sz w:val="20"/>
                <w:szCs w:val="20"/>
              </w:rPr>
              <w:t>All students will be assessed.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BD24C6" w:rsidRPr="00C01161" w:rsidRDefault="00BD24C6" w:rsidP="00BD24C6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393"/>
        </w:trPr>
        <w:tc>
          <w:tcPr>
            <w:tcW w:w="4145" w:type="dxa"/>
          </w:tcPr>
          <w:p w:rsidR="00E15F95" w:rsidRPr="00E15F95" w:rsidRDefault="005A285F" w:rsidP="00E15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15F95" w:rsidRPr="00E15F95">
              <w:rPr>
                <w:sz w:val="20"/>
                <w:szCs w:val="20"/>
              </w:rPr>
              <w:t>tudents will be able to conduct a multi-perspective analysis of specific problem s</w:t>
            </w:r>
            <w:r>
              <w:rPr>
                <w:sz w:val="20"/>
                <w:szCs w:val="20"/>
              </w:rPr>
              <w:t>olving techniques and solutions used in the implementation of construction projects involving collaborators from various countries around the world.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:rsidTr="00795F81">
        <w:trPr>
          <w:trHeight w:val="1664"/>
        </w:trPr>
        <w:tc>
          <w:tcPr>
            <w:tcW w:w="12831" w:type="dxa"/>
            <w:gridSpan w:val="3"/>
          </w:tcPr>
          <w:p w:rsidR="00BD24C6" w:rsidRPr="00C01161" w:rsidRDefault="00BD24C6" w:rsidP="00BD24C6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60509A" w:rsidRDefault="0060509A" w:rsidP="00351663">
            <w:pPr>
              <w:rPr>
                <w:i/>
                <w:color w:val="0070C0"/>
                <w:sz w:val="20"/>
              </w:rPr>
            </w:pP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243FA8" w:rsidRDefault="00243FA8" w:rsidP="00351663">
            <w:pPr>
              <w:rPr>
                <w:i/>
                <w:color w:val="0070C0"/>
                <w:sz w:val="20"/>
              </w:rPr>
            </w:pPr>
          </w:p>
          <w:p w:rsidR="00243FA8" w:rsidRPr="00C01161" w:rsidRDefault="00243FA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:rsidTr="00795F81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795F81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4A487C" w:rsidRDefault="004A487C" w:rsidP="00982E54">
            <w:pPr>
              <w:rPr>
                <w:sz w:val="20"/>
              </w:rPr>
            </w:pPr>
            <w:r>
              <w:rPr>
                <w:sz w:val="20"/>
              </w:rPr>
              <w:t>Construction Project Case Study</w:t>
            </w:r>
          </w:p>
          <w:p w:rsidR="00982E54" w:rsidRDefault="00982E54" w:rsidP="00982E54">
            <w:pPr>
              <w:rPr>
                <w:sz w:val="20"/>
              </w:rPr>
            </w:pPr>
          </w:p>
          <w:p w:rsidR="00982E54" w:rsidRPr="007D182A" w:rsidRDefault="00AA6E0A" w:rsidP="00982E54">
            <w:pPr>
              <w:rPr>
                <w:sz w:val="20"/>
              </w:rPr>
            </w:pPr>
            <w:r>
              <w:rPr>
                <w:sz w:val="20"/>
              </w:rPr>
              <w:t>As part of the case study, students will write a reflection on ways in which they would engage in the multi-perspective problem they have identified.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4A487C" w:rsidRDefault="004A487C" w:rsidP="00982E54">
            <w:pPr>
              <w:rPr>
                <w:sz w:val="20"/>
              </w:rPr>
            </w:pPr>
            <w:r>
              <w:rPr>
                <w:sz w:val="20"/>
              </w:rPr>
              <w:t>5-point Rubric</w:t>
            </w:r>
          </w:p>
          <w:p w:rsidR="004A487C" w:rsidRDefault="004A487C" w:rsidP="004A487C">
            <w:pPr>
              <w:ind w:left="720"/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4A487C" w:rsidRPr="007D182A" w:rsidRDefault="004A487C" w:rsidP="00982E54">
            <w:pPr>
              <w:rPr>
                <w:sz w:val="20"/>
              </w:rPr>
            </w:pPr>
            <w:r>
              <w:rPr>
                <w:sz w:val="20"/>
              </w:rPr>
              <w:t>3 or better on a 5-point Rubric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0C6750" w:rsidRPr="000C6750" w:rsidRDefault="000C6750" w:rsidP="000C6750">
            <w:pPr>
              <w:rPr>
                <w:sz w:val="20"/>
                <w:szCs w:val="20"/>
              </w:rPr>
            </w:pPr>
            <w:r w:rsidRPr="000C6750">
              <w:rPr>
                <w:sz w:val="20"/>
                <w:szCs w:val="20"/>
              </w:rPr>
              <w:t>All students will be assessed</w:t>
            </w:r>
            <w:r w:rsidR="00982E54">
              <w:rPr>
                <w:sz w:val="20"/>
                <w:szCs w:val="20"/>
              </w:rPr>
              <w:t>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BD24C6" w:rsidRPr="00C01161" w:rsidRDefault="00BD24C6" w:rsidP="00BD24C6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393"/>
        </w:trPr>
        <w:tc>
          <w:tcPr>
            <w:tcW w:w="4145" w:type="dxa"/>
          </w:tcPr>
          <w:p w:rsidR="00E15F95" w:rsidRPr="00E15F95" w:rsidRDefault="00E15F95" w:rsidP="00E15F95">
            <w:pPr>
              <w:rPr>
                <w:sz w:val="20"/>
                <w:szCs w:val="20"/>
              </w:rPr>
            </w:pPr>
            <w:r w:rsidRPr="00E15F95">
              <w:rPr>
                <w:sz w:val="20"/>
                <w:szCs w:val="20"/>
              </w:rPr>
              <w:t xml:space="preserve">Students will demonstrate </w:t>
            </w:r>
            <w:r w:rsidR="00CD282C">
              <w:rPr>
                <w:sz w:val="20"/>
                <w:szCs w:val="20"/>
              </w:rPr>
              <w:t xml:space="preserve">a </w:t>
            </w:r>
            <w:r w:rsidRPr="00E15F95">
              <w:rPr>
                <w:sz w:val="20"/>
                <w:szCs w:val="20"/>
              </w:rPr>
              <w:t>willingness</w:t>
            </w:r>
            <w:r w:rsidR="00FF7A70">
              <w:rPr>
                <w:sz w:val="20"/>
                <w:szCs w:val="20"/>
              </w:rPr>
              <w:t xml:space="preserve"> to</w:t>
            </w:r>
            <w:r w:rsidR="00982E54">
              <w:rPr>
                <w:sz w:val="20"/>
                <w:szCs w:val="20"/>
              </w:rPr>
              <w:t xml:space="preserve"> work</w:t>
            </w:r>
            <w:r w:rsidRPr="00E15F95">
              <w:rPr>
                <w:sz w:val="20"/>
                <w:szCs w:val="20"/>
              </w:rPr>
              <w:t xml:space="preserve"> on a diverse team engaged in international and intercultural problem solving in order to successfully complete a construction project</w:t>
            </w:r>
            <w:r w:rsidR="00FF7A70">
              <w:rPr>
                <w:sz w:val="20"/>
                <w:szCs w:val="20"/>
              </w:rPr>
              <w:t xml:space="preserve"> that </w:t>
            </w:r>
            <w:r w:rsidR="00982E54">
              <w:rPr>
                <w:sz w:val="20"/>
                <w:szCs w:val="20"/>
              </w:rPr>
              <w:t>involves collaborators from various countries around the world.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795F81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:rsidTr="00795F81">
        <w:trPr>
          <w:trHeight w:val="1664"/>
        </w:trPr>
        <w:tc>
          <w:tcPr>
            <w:tcW w:w="12831" w:type="dxa"/>
            <w:gridSpan w:val="3"/>
          </w:tcPr>
          <w:p w:rsidR="00BD24C6" w:rsidRPr="00C01161" w:rsidRDefault="00BD24C6" w:rsidP="00BD24C6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Default="00BD24C6" w:rsidP="00351663">
            <w:pPr>
              <w:rPr>
                <w:i/>
                <w:color w:val="0070C0"/>
                <w:sz w:val="20"/>
              </w:rPr>
            </w:pPr>
          </w:p>
          <w:p w:rsidR="00BD24C6" w:rsidRPr="00C01161" w:rsidRDefault="00BD24C6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CF" w:rsidRDefault="000B0ACF">
      <w:r>
        <w:separator/>
      </w:r>
    </w:p>
  </w:endnote>
  <w:endnote w:type="continuationSeparator" w:id="0">
    <w:p w:rsidR="000B0ACF" w:rsidRDefault="000B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CD6557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CD6557" w:rsidP="00E06F48">
    <w:pPr>
      <w:pStyle w:val="Footer"/>
      <w:framePr w:wrap="around" w:vAnchor="text" w:hAnchor="page" w:x="7801" w:y="-115"/>
      <w:rPr>
        <w:rStyle w:val="PageNumber"/>
        <w:sz w:val="20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D24C6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CF" w:rsidRDefault="000B0ACF">
      <w:r>
        <w:separator/>
      </w:r>
    </w:p>
  </w:footnote>
  <w:footnote w:type="continuationSeparator" w:id="0">
    <w:p w:rsidR="000B0ACF" w:rsidRDefault="000B0A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BB538F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273B4900" wp14:editId="286C5D1E">
          <wp:extent cx="2472055" cy="567055"/>
          <wp:effectExtent l="0" t="0" r="0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C70" w:rsidRPr="00FD3E31" w:rsidRDefault="00606C70" w:rsidP="00BD24C6">
    <w:pPr>
      <w:ind w:left="18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606C70" w:rsidRDefault="00606C70" w:rsidP="00BD24C6">
    <w:pPr>
      <w:ind w:left="18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:rsidR="00606C70" w:rsidRPr="00606C70" w:rsidRDefault="00606C70" w:rsidP="00BD24C6">
    <w:pPr>
      <w:ind w:left="180"/>
      <w:rPr>
        <w:b/>
        <w:sz w:val="18"/>
        <w:szCs w:val="18"/>
      </w:rPr>
    </w:pPr>
  </w:p>
  <w:p w:rsidR="00E06F48" w:rsidRPr="00581F94" w:rsidRDefault="00E06F48" w:rsidP="00BD24C6">
    <w:pPr>
      <w:ind w:left="180"/>
      <w:rPr>
        <w:sz w:val="20"/>
      </w:rPr>
    </w:pPr>
    <w:r w:rsidRPr="00581F94">
      <w:rPr>
        <w:sz w:val="20"/>
      </w:rPr>
      <w:t>Faculty Name:</w:t>
    </w:r>
    <w:r w:rsidR="00A76A99">
      <w:rPr>
        <w:sz w:val="20"/>
      </w:rPr>
      <w:t xml:space="preserve"> </w:t>
    </w:r>
  </w:p>
  <w:p w:rsidR="00E06F48" w:rsidRPr="00581F94" w:rsidRDefault="00E06F48" w:rsidP="00BD24C6">
    <w:pPr>
      <w:ind w:left="180"/>
      <w:rPr>
        <w:sz w:val="20"/>
      </w:rPr>
    </w:pPr>
    <w:r w:rsidRPr="00581F94">
      <w:rPr>
        <w:sz w:val="20"/>
      </w:rPr>
      <w:t xml:space="preserve">Course:  </w:t>
    </w:r>
    <w:r w:rsidR="00A76A99" w:rsidRPr="00606C70">
      <w:rPr>
        <w:sz w:val="20"/>
      </w:rPr>
      <w:t>BCN 3761, Construction Documentation &amp; Communication</w:t>
    </w:r>
    <w:r w:rsidRPr="00581F94">
      <w:rPr>
        <w:sz w:val="20"/>
      </w:rPr>
      <w:tab/>
    </w:r>
  </w:p>
  <w:p w:rsidR="00606C70" w:rsidRPr="00606C70" w:rsidRDefault="00BD24C6" w:rsidP="00BD24C6">
    <w:pPr>
      <w:ind w:left="180"/>
      <w:rPr>
        <w:sz w:val="22"/>
      </w:rPr>
    </w:pPr>
    <w:r>
      <w:rPr>
        <w:sz w:val="20"/>
      </w:rPr>
      <w:t>Academic Unit: CEC, Dep</w:t>
    </w:r>
    <w:r w:rsidR="00244D96">
      <w:rPr>
        <w:sz w:val="20"/>
      </w:rPr>
      <w:t>t</w:t>
    </w:r>
    <w:r>
      <w:rPr>
        <w:sz w:val="20"/>
      </w:rPr>
      <w:t>.</w:t>
    </w:r>
    <w:r w:rsidR="00244D96">
      <w:rPr>
        <w:sz w:val="20"/>
      </w:rPr>
      <w:t xml:space="preserve"> of Construction </w:t>
    </w:r>
    <w:r>
      <w:rPr>
        <w:sz w:val="20"/>
      </w:rPr>
      <w:t xml:space="preserve">Management    </w:t>
    </w:r>
    <w:r w:rsidR="00581F94">
      <w:rPr>
        <w:sz w:val="20"/>
      </w:rPr>
      <w:t>Degree Program:</w:t>
    </w:r>
    <w:r w:rsidR="00A76A99">
      <w:rPr>
        <w:sz w:val="20"/>
      </w:rPr>
      <w:t xml:space="preserve"> B.S.</w:t>
    </w:r>
    <w:r w:rsidR="00244D96">
      <w:rPr>
        <w:sz w:val="20"/>
      </w:rPr>
      <w:t xml:space="preserve"> Construction Management</w:t>
    </w:r>
    <w:r w:rsidR="002156B2">
      <w:rPr>
        <w:sz w:val="20"/>
      </w:rPr>
      <w:tab/>
    </w:r>
    <w:r w:rsidR="00581F94">
      <w:rPr>
        <w:sz w:val="20"/>
      </w:rPr>
      <w:t>Semester Assessed:</w:t>
    </w:r>
    <w:r w:rsidR="00E06F48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CC7"/>
    <w:multiLevelType w:val="hybridMultilevel"/>
    <w:tmpl w:val="FA8C9654"/>
    <w:lvl w:ilvl="0" w:tplc="BFC21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7634"/>
    <w:multiLevelType w:val="hybridMultilevel"/>
    <w:tmpl w:val="DD023B56"/>
    <w:lvl w:ilvl="0" w:tplc="071E4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5363"/>
    <w:multiLevelType w:val="hybridMultilevel"/>
    <w:tmpl w:val="8B40C1C4"/>
    <w:lvl w:ilvl="0" w:tplc="1AB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DD1FB1"/>
    <w:multiLevelType w:val="hybridMultilevel"/>
    <w:tmpl w:val="51E8A962"/>
    <w:lvl w:ilvl="0" w:tplc="FB42C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67E6"/>
    <w:multiLevelType w:val="hybridMultilevel"/>
    <w:tmpl w:val="25E04B38"/>
    <w:lvl w:ilvl="0" w:tplc="32E4C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44A0"/>
    <w:multiLevelType w:val="hybridMultilevel"/>
    <w:tmpl w:val="FD068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92CCB"/>
    <w:multiLevelType w:val="hybridMultilevel"/>
    <w:tmpl w:val="0516593C"/>
    <w:lvl w:ilvl="0" w:tplc="109A4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7D6474"/>
    <w:multiLevelType w:val="hybridMultilevel"/>
    <w:tmpl w:val="476A3EF4"/>
    <w:lvl w:ilvl="0" w:tplc="F058F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5434B"/>
    <w:multiLevelType w:val="hybridMultilevel"/>
    <w:tmpl w:val="073E256E"/>
    <w:lvl w:ilvl="0" w:tplc="58A4F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5864"/>
    <w:multiLevelType w:val="hybridMultilevel"/>
    <w:tmpl w:val="C900A180"/>
    <w:lvl w:ilvl="0" w:tplc="339E8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6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6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B0ACF"/>
    <w:rsid w:val="000C4B42"/>
    <w:rsid w:val="000C6750"/>
    <w:rsid w:val="001704DB"/>
    <w:rsid w:val="00196AD8"/>
    <w:rsid w:val="001C5E47"/>
    <w:rsid w:val="002156B2"/>
    <w:rsid w:val="00243FA8"/>
    <w:rsid w:val="00244D96"/>
    <w:rsid w:val="002B797E"/>
    <w:rsid w:val="002F61F0"/>
    <w:rsid w:val="00313AEE"/>
    <w:rsid w:val="00346774"/>
    <w:rsid w:val="00351663"/>
    <w:rsid w:val="003F3DB7"/>
    <w:rsid w:val="0042540A"/>
    <w:rsid w:val="00445D50"/>
    <w:rsid w:val="00471BA5"/>
    <w:rsid w:val="004A487C"/>
    <w:rsid w:val="004E4AB1"/>
    <w:rsid w:val="004E7C4D"/>
    <w:rsid w:val="00516CDE"/>
    <w:rsid w:val="00521FFD"/>
    <w:rsid w:val="00581F94"/>
    <w:rsid w:val="005A285F"/>
    <w:rsid w:val="0060509A"/>
    <w:rsid w:val="00606C70"/>
    <w:rsid w:val="006512D0"/>
    <w:rsid w:val="006A06CE"/>
    <w:rsid w:val="007149C7"/>
    <w:rsid w:val="007505D0"/>
    <w:rsid w:val="00774C04"/>
    <w:rsid w:val="007766F8"/>
    <w:rsid w:val="00794823"/>
    <w:rsid w:val="00795F81"/>
    <w:rsid w:val="007B18ED"/>
    <w:rsid w:val="007D182A"/>
    <w:rsid w:val="007D62B3"/>
    <w:rsid w:val="00882AAC"/>
    <w:rsid w:val="008E2DC9"/>
    <w:rsid w:val="0090133C"/>
    <w:rsid w:val="00943D59"/>
    <w:rsid w:val="00982E54"/>
    <w:rsid w:val="00A76A99"/>
    <w:rsid w:val="00AA6E0A"/>
    <w:rsid w:val="00B214AE"/>
    <w:rsid w:val="00BB538F"/>
    <w:rsid w:val="00BD24C6"/>
    <w:rsid w:val="00C85AD3"/>
    <w:rsid w:val="00CD282C"/>
    <w:rsid w:val="00CD6557"/>
    <w:rsid w:val="00D4417F"/>
    <w:rsid w:val="00E06F48"/>
    <w:rsid w:val="00E1339B"/>
    <w:rsid w:val="00E15F95"/>
    <w:rsid w:val="00E6631C"/>
    <w:rsid w:val="00F45ECC"/>
    <w:rsid w:val="00FA3069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2011-03-01T03:15:00Z</cp:lastPrinted>
  <dcterms:created xsi:type="dcterms:W3CDTF">2016-09-07T15:01:00Z</dcterms:created>
  <dcterms:modified xsi:type="dcterms:W3CDTF">2016-09-07T15:01:00Z</dcterms:modified>
</cp:coreProperties>
</file>